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E6" w:rsidRPr="00F75DE6" w:rsidRDefault="00F75DE6" w:rsidP="00F75D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Утверждены правила замены иностранных товаров эквивалентными товарами</w:t>
      </w:r>
    </w:p>
    <w:p w:rsidR="00F75DE6" w:rsidRPr="00F75DE6" w:rsidRDefault="00F75DE6" w:rsidP="00F75DE6">
      <w:pPr>
        <w:pStyle w:val="a3"/>
        <w:spacing w:before="0" w:beforeAutospacing="0" w:after="0" w:afterAutospacing="0"/>
        <w:ind w:firstLine="708"/>
        <w:jc w:val="both"/>
      </w:pPr>
      <w:r w:rsidRPr="00F75DE6">
        <w:t>Постановлением Правительства РФ от 20.08.2015 № 872 утверждены правила замены иностранных товаров эквивалентными товарами (применения эквивалентной компенсации) при применении таможенной процедуры переработки на таможенной территории.</w:t>
      </w:r>
    </w:p>
    <w:p w:rsidR="00F75DE6" w:rsidRPr="00F75DE6" w:rsidRDefault="00F75DE6" w:rsidP="00F75DE6">
      <w:pPr>
        <w:pStyle w:val="a3"/>
        <w:spacing w:before="0" w:beforeAutospacing="0" w:after="0" w:afterAutospacing="0"/>
        <w:ind w:firstLine="708"/>
        <w:jc w:val="both"/>
      </w:pPr>
      <w:r w:rsidRPr="00F75DE6">
        <w:t>Указанными правила определены порядок выдачи таможенными органами разрешений на замену иностранных товаров эквивалентными товарами, основания для выдачи такого разрешения и отказа в его выдаче, сроки рассмотрения заявлений таможенными органами.</w:t>
      </w:r>
    </w:p>
    <w:p w:rsidR="00F75DE6" w:rsidRPr="00F75DE6" w:rsidRDefault="00F75DE6" w:rsidP="00F75DE6">
      <w:pPr>
        <w:pStyle w:val="a3"/>
        <w:spacing w:before="0" w:beforeAutospacing="0" w:after="0" w:afterAutospacing="0"/>
        <w:ind w:firstLine="708"/>
        <w:jc w:val="both"/>
      </w:pPr>
      <w:r w:rsidRPr="00F75DE6">
        <w:t>В частности, разрешение таможенного органа на замену может быть выдано таможенным органом одновременно с выдачей разрешения на переработку или после выдачи разрешения на переработку товаров.</w:t>
      </w:r>
    </w:p>
    <w:p w:rsidR="00F75DE6" w:rsidRPr="00F75DE6" w:rsidRDefault="00F75DE6" w:rsidP="00F75DE6">
      <w:pPr>
        <w:pStyle w:val="a3"/>
        <w:spacing w:before="0" w:beforeAutospacing="0" w:after="0" w:afterAutospacing="0"/>
        <w:ind w:firstLine="708"/>
        <w:jc w:val="both"/>
      </w:pPr>
      <w:r w:rsidRPr="00F75DE6">
        <w:t>В целях получения разрешения на замену в заявлении на переработку указываются наименование эквивалентных товаров, их код, количество, описание, качественные и технические характеристики, информация о вывозе продуктов переработки, полученных из эквивалентных товаров, с территории ЕАЭС до ввоза иностранных товаров в соответствии с процедурой переработки.</w:t>
      </w:r>
    </w:p>
    <w:p w:rsidR="00F75DE6" w:rsidRPr="00F75DE6" w:rsidRDefault="00F75DE6" w:rsidP="00F75DE6">
      <w:pPr>
        <w:pStyle w:val="a3"/>
        <w:spacing w:before="0" w:beforeAutospacing="0" w:after="0" w:afterAutospacing="0"/>
        <w:ind w:firstLine="708"/>
        <w:jc w:val="both"/>
      </w:pPr>
      <w:r w:rsidRPr="00F75DE6">
        <w:t>Разрешение о выдаче разрешения  на замену принимается в течение 10 рабочих дней.</w:t>
      </w:r>
    </w:p>
    <w:p w:rsidR="00F75DE6" w:rsidRPr="00F75DE6" w:rsidRDefault="00F75DE6" w:rsidP="00F75DE6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F75DE6">
        <w:t>Лицо, получившее разрешение на переработку товаров, уведомляет таможенный орган, осуществляющий контроль за применением таможенной процедуры переработки на таможенной территории, о дате начала использования в технологическом процессе совершения операций по переработке эквивалентных товаров в течение 3 рабочих дней (в произвольной форме) на бумажном носителе или в виде электронного документа, подписанного усиленной квалифицированной подписью уполномоченного лица.</w:t>
      </w:r>
      <w:proofErr w:type="gramEnd"/>
    </w:p>
    <w:p w:rsidR="00F75DE6" w:rsidRPr="00F75DE6" w:rsidRDefault="00F75DE6" w:rsidP="00F75DE6">
      <w:pPr>
        <w:pStyle w:val="a3"/>
        <w:spacing w:before="0" w:beforeAutospacing="0" w:after="0" w:afterAutospacing="0"/>
        <w:ind w:firstLine="708"/>
        <w:jc w:val="both"/>
      </w:pPr>
      <w:r w:rsidRPr="00F75DE6">
        <w:t>Вывоз продуктов переработки, полученных из эквивалентных товаров, с таможенной территории и ввоз на таможенную территорию иностранных товаров осуществляются в течение срока переработки, установленного в разрешении на переработку товаров.</w:t>
      </w:r>
    </w:p>
    <w:p w:rsidR="00F75DE6" w:rsidRPr="00F75DE6" w:rsidRDefault="00F75DE6" w:rsidP="00F75DE6">
      <w:pPr>
        <w:pStyle w:val="a3"/>
        <w:spacing w:before="0" w:beforeAutospacing="0" w:after="0" w:afterAutospacing="0"/>
        <w:ind w:firstLine="708"/>
        <w:jc w:val="both"/>
      </w:pPr>
      <w:r w:rsidRPr="00F75DE6">
        <w:t>Постановление Правительства РФ вступает в силу 02.09.2015</w:t>
      </w:r>
    </w:p>
    <w:p w:rsidR="00CD72C2" w:rsidRPr="00F75DE6" w:rsidRDefault="00CD72C2">
      <w:pPr>
        <w:rPr>
          <w:sz w:val="24"/>
          <w:szCs w:val="24"/>
        </w:rPr>
      </w:pPr>
    </w:p>
    <w:p w:rsidR="00F75DE6" w:rsidRPr="00F75DE6" w:rsidRDefault="00F75DE6" w:rsidP="00F75DE6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F75DE6">
        <w:rPr>
          <w:sz w:val="24"/>
          <w:szCs w:val="24"/>
        </w:rPr>
        <w:t>Утверждены правила формирования, ведения и модернизации информационно-аналитической системы «Общероссийская база вакансий «Работа в России»</w:t>
      </w:r>
    </w:p>
    <w:p w:rsidR="00F75DE6" w:rsidRPr="00F75DE6" w:rsidRDefault="00F75DE6" w:rsidP="00F75DE6">
      <w:pPr>
        <w:pStyle w:val="a3"/>
        <w:spacing w:before="0" w:beforeAutospacing="0" w:after="0" w:afterAutospacing="0"/>
        <w:ind w:firstLine="708"/>
        <w:jc w:val="both"/>
      </w:pPr>
      <w:r w:rsidRPr="00F75DE6">
        <w:t>Постановлением Правительства РФ от 25 августа 2015 года № 885 утверждены правила формирования, ведения и модернизации информационно-аналитической системы «Общероссийская база вакансий «Работа в России».</w:t>
      </w:r>
    </w:p>
    <w:p w:rsidR="00F75DE6" w:rsidRPr="00F75DE6" w:rsidRDefault="00F75DE6" w:rsidP="00F75DE6">
      <w:pPr>
        <w:pStyle w:val="a3"/>
        <w:spacing w:before="0" w:beforeAutospacing="0" w:after="0" w:afterAutospacing="0"/>
        <w:ind w:firstLine="708"/>
        <w:jc w:val="both"/>
      </w:pPr>
      <w:r w:rsidRPr="00F75DE6">
        <w:t>Система создается в целях формирования государственного информационного ресурса и предоставление информации в сфере занятости населения, а также оказания в электронном виде государственных услуг в сфере занятости населения,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F75DE6" w:rsidRPr="00F75DE6" w:rsidRDefault="00F75DE6" w:rsidP="00F75DE6">
      <w:pPr>
        <w:pStyle w:val="a3"/>
        <w:spacing w:before="0" w:beforeAutospacing="0" w:after="0" w:afterAutospacing="0"/>
        <w:ind w:firstLine="708"/>
        <w:jc w:val="both"/>
      </w:pPr>
      <w:r w:rsidRPr="00F75DE6">
        <w:t>В системе будет бесплатно размещаться информация о возможностях трудоустройства, о работодателях, испытывающих потребность в работниках, о наличии свободных рабочих мест и вакантных должностей, о гражданах, ищущих работу.</w:t>
      </w:r>
    </w:p>
    <w:p w:rsidR="00F75DE6" w:rsidRPr="00F75DE6" w:rsidRDefault="00F75DE6" w:rsidP="00F75DE6">
      <w:pPr>
        <w:pStyle w:val="a3"/>
        <w:spacing w:before="0" w:beforeAutospacing="0" w:after="0" w:afterAutospacing="0"/>
        <w:jc w:val="both"/>
      </w:pPr>
      <w:r w:rsidRPr="00F75DE6">
        <w:t> </w:t>
      </w:r>
      <w:r w:rsidRPr="00F75DE6">
        <w:tab/>
        <w:t>Система состоит из федерального и регионального сегментов. Федеральный сегмент включает в себя, следующие подсистемы:</w:t>
      </w:r>
    </w:p>
    <w:p w:rsidR="00F75DE6" w:rsidRPr="00F75DE6" w:rsidRDefault="00F75DE6" w:rsidP="00F75DE6">
      <w:pPr>
        <w:pStyle w:val="a3"/>
        <w:spacing w:before="0" w:beforeAutospacing="0" w:after="0" w:afterAutospacing="0"/>
        <w:ind w:firstLine="708"/>
        <w:jc w:val="both"/>
      </w:pPr>
      <w:r w:rsidRPr="00F75DE6">
        <w:t>- Общероссийская база вакансий;</w:t>
      </w:r>
    </w:p>
    <w:p w:rsidR="00F75DE6" w:rsidRPr="00F75DE6" w:rsidRDefault="00F75DE6" w:rsidP="00F75DE6">
      <w:pPr>
        <w:pStyle w:val="a3"/>
        <w:spacing w:before="0" w:beforeAutospacing="0" w:after="0" w:afterAutospacing="0"/>
        <w:ind w:firstLine="708"/>
        <w:jc w:val="both"/>
      </w:pPr>
      <w:r w:rsidRPr="00F75DE6">
        <w:t>- Общероссийская база резюме;</w:t>
      </w:r>
    </w:p>
    <w:p w:rsidR="00F75DE6" w:rsidRPr="00F75DE6" w:rsidRDefault="00F75DE6" w:rsidP="00F75DE6">
      <w:pPr>
        <w:pStyle w:val="a3"/>
        <w:spacing w:before="0" w:beforeAutospacing="0" w:after="0" w:afterAutospacing="0"/>
        <w:ind w:firstLine="708"/>
        <w:jc w:val="both"/>
      </w:pPr>
      <w:r w:rsidRPr="00F75DE6">
        <w:t>- Личный кабинет соискателя;</w:t>
      </w:r>
    </w:p>
    <w:p w:rsidR="00F75DE6" w:rsidRPr="00F75DE6" w:rsidRDefault="00F75DE6" w:rsidP="00F75DE6">
      <w:pPr>
        <w:pStyle w:val="a3"/>
        <w:spacing w:before="0" w:beforeAutospacing="0" w:after="0" w:afterAutospacing="0"/>
        <w:ind w:firstLine="708"/>
        <w:jc w:val="both"/>
      </w:pPr>
      <w:r w:rsidRPr="00F75DE6">
        <w:t>- Личный кабинет работодателя.</w:t>
      </w:r>
    </w:p>
    <w:p w:rsidR="00F75DE6" w:rsidRPr="00F75DE6" w:rsidRDefault="00F75DE6" w:rsidP="00F75DE6">
      <w:pPr>
        <w:pStyle w:val="a3"/>
        <w:spacing w:before="0" w:beforeAutospacing="0" w:after="0" w:afterAutospacing="0"/>
        <w:ind w:firstLine="708"/>
        <w:jc w:val="both"/>
      </w:pPr>
      <w:r w:rsidRPr="00F75DE6">
        <w:lastRenderedPageBreak/>
        <w:t xml:space="preserve">Частью регионального сегмента будут личный кабинет </w:t>
      </w:r>
      <w:proofErr w:type="gramStart"/>
      <w:r w:rsidRPr="00F75DE6">
        <w:t>органа службы занятости населения субъекта</w:t>
      </w:r>
      <w:proofErr w:type="gramEnd"/>
      <w:r w:rsidRPr="00F75DE6">
        <w:t xml:space="preserve"> РФ, а также личный кабинет сотрудника многофункционального центра предоставления государственных и муниципальных услуг.</w:t>
      </w:r>
    </w:p>
    <w:p w:rsidR="00F75DE6" w:rsidRPr="00F75DE6" w:rsidRDefault="00F75DE6" w:rsidP="00F75DE6">
      <w:pPr>
        <w:pStyle w:val="a3"/>
        <w:spacing w:before="0" w:beforeAutospacing="0" w:after="0" w:afterAutospacing="0"/>
        <w:ind w:firstLine="708"/>
        <w:jc w:val="both"/>
      </w:pPr>
      <w:r w:rsidRPr="00F75DE6">
        <w:t>Информация о работодателях, вакансиях и соискателях будет размещаться в системе данными лицами непосредственно, через негосударственные организации, осуществляющие деятельность по содействию в трудоустройстве граждан и (или) подбору работников, сотрудниками многофункциональных центров либо органами службы занятости населения.</w:t>
      </w:r>
    </w:p>
    <w:p w:rsidR="00F75DE6" w:rsidRPr="00F75DE6" w:rsidRDefault="00F75DE6" w:rsidP="00F75DE6">
      <w:pPr>
        <w:pStyle w:val="a3"/>
        <w:spacing w:before="0" w:beforeAutospacing="0" w:after="0" w:afterAutospacing="0"/>
        <w:ind w:firstLine="708"/>
        <w:jc w:val="both"/>
      </w:pPr>
      <w:r w:rsidRPr="00F75DE6">
        <w:t>Правительство РФ рекомендует государственным и муниципальным учреждениям, государственным и муниципальным  унитарным предприятиям, государственным компаниям и хозяйственным обществом обеспечить с 1 сентября 2015 года размещение в Системе и поддержание в актуальном состоянии информации о вакантных должностях.</w:t>
      </w:r>
    </w:p>
    <w:p w:rsidR="00F75DE6" w:rsidRPr="00F75DE6" w:rsidRDefault="00F75DE6" w:rsidP="00F75DE6">
      <w:pPr>
        <w:pStyle w:val="a3"/>
        <w:spacing w:before="0" w:beforeAutospacing="0" w:after="0" w:afterAutospacing="0"/>
        <w:ind w:firstLine="708"/>
        <w:jc w:val="both"/>
      </w:pPr>
      <w:r w:rsidRPr="00F75DE6">
        <w:t>Постановление, за исключением отдельных положений, вступило в силу 28 августа 2015 года.</w:t>
      </w:r>
    </w:p>
    <w:p w:rsidR="00F75DE6" w:rsidRPr="00F75DE6" w:rsidRDefault="00F75DE6" w:rsidP="00F75DE6">
      <w:pPr>
        <w:spacing w:after="0" w:line="240" w:lineRule="auto"/>
        <w:rPr>
          <w:sz w:val="24"/>
          <w:szCs w:val="24"/>
        </w:rPr>
      </w:pPr>
    </w:p>
    <w:p w:rsidR="00F75DE6" w:rsidRPr="00F75DE6" w:rsidRDefault="00F75DE6" w:rsidP="00F75DE6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F75DE6">
        <w:rPr>
          <w:sz w:val="24"/>
          <w:szCs w:val="24"/>
        </w:rPr>
        <w:t>Под эмбарго попали еще 5 стран, в отношении которых вводится запрет на ввоз в Россию</w:t>
      </w:r>
    </w:p>
    <w:p w:rsidR="00F75DE6" w:rsidRPr="00F75DE6" w:rsidRDefault="00F75DE6" w:rsidP="00F75DE6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F75DE6">
        <w:t>Постановлением Правительства РФ от 13.08.2015 № 842 «О внесении изменений в постановления Правительства Российской Федерации от 7 августа 2014 г., № 778  и от 31 июля 2015 г. № 774»  в список стран, в отношении которых вводится запрет на ввоз в Россию сельскохозяйственной продукции, сырья и продовольствия, дополнительно включены Украина, Албания, Черногория, Исландия и Лихтенштейн.</w:t>
      </w:r>
      <w:proofErr w:type="gramEnd"/>
    </w:p>
    <w:p w:rsidR="00F75DE6" w:rsidRPr="00F75DE6" w:rsidRDefault="00F75DE6" w:rsidP="00F75DE6">
      <w:pPr>
        <w:pStyle w:val="a3"/>
        <w:spacing w:before="0" w:beforeAutospacing="0" w:after="0" w:afterAutospacing="0"/>
        <w:ind w:firstLine="708"/>
        <w:jc w:val="both"/>
      </w:pPr>
      <w:r w:rsidRPr="00F75DE6">
        <w:t>В отношении Украины запрет начнет действовать через 10 дней после выявления действий этой страны по применению Соглашения об ассоциации с ЕС или его имплементации, но не позднее 1 января 2016 г.</w:t>
      </w:r>
    </w:p>
    <w:p w:rsidR="00F75DE6" w:rsidRPr="00F75DE6" w:rsidRDefault="00F75DE6" w:rsidP="00F75DE6">
      <w:pPr>
        <w:pStyle w:val="a3"/>
        <w:spacing w:before="0" w:beforeAutospacing="0" w:after="0" w:afterAutospacing="0"/>
        <w:ind w:firstLine="708"/>
        <w:jc w:val="both"/>
      </w:pPr>
      <w:r w:rsidRPr="00F75DE6">
        <w:t xml:space="preserve">Решение направлено на распространение специальных ответных экономических мер на отдельные государства с учетом степени их вовлеченности в </w:t>
      </w:r>
      <w:proofErr w:type="spellStart"/>
      <w:r w:rsidRPr="00F75DE6">
        <w:t>санкционный</w:t>
      </w:r>
      <w:proofErr w:type="spellEnd"/>
      <w:r w:rsidRPr="00F75DE6">
        <w:t xml:space="preserve"> режим против Российской Федерации.</w:t>
      </w:r>
    </w:p>
    <w:p w:rsidR="00F75DE6" w:rsidRPr="00F75DE6" w:rsidRDefault="00F75DE6" w:rsidP="00F75DE6">
      <w:pPr>
        <w:pStyle w:val="a3"/>
        <w:spacing w:before="0" w:beforeAutospacing="0" w:after="0" w:afterAutospacing="0"/>
        <w:ind w:firstLine="708"/>
        <w:jc w:val="both"/>
      </w:pPr>
      <w:r w:rsidRPr="00F75DE6">
        <w:t>Постановление вступило в силу с 14.08.2015.</w:t>
      </w:r>
    </w:p>
    <w:p w:rsidR="00F75DE6" w:rsidRDefault="00F75DE6" w:rsidP="00F75DE6">
      <w:pPr>
        <w:spacing w:after="0" w:line="240" w:lineRule="auto"/>
        <w:rPr>
          <w:sz w:val="24"/>
          <w:szCs w:val="24"/>
        </w:rPr>
      </w:pPr>
    </w:p>
    <w:p w:rsidR="00F75DE6" w:rsidRPr="00F75DE6" w:rsidRDefault="00F75DE6" w:rsidP="00F75DE6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F75DE6">
        <w:rPr>
          <w:sz w:val="24"/>
          <w:szCs w:val="24"/>
        </w:rPr>
        <w:t xml:space="preserve">Установленные заказчиком ограничения для участия в закупках в связи с отсутствием регистрации на </w:t>
      </w:r>
      <w:proofErr w:type="gramStart"/>
      <w:r w:rsidRPr="00F75DE6">
        <w:rPr>
          <w:sz w:val="24"/>
          <w:szCs w:val="24"/>
        </w:rPr>
        <w:t>территории</w:t>
      </w:r>
      <w:proofErr w:type="gramEnd"/>
      <w:r w:rsidRPr="00F75DE6">
        <w:rPr>
          <w:sz w:val="24"/>
          <w:szCs w:val="24"/>
        </w:rPr>
        <w:t xml:space="preserve"> ЗАТО являются незаконными</w:t>
      </w:r>
    </w:p>
    <w:p w:rsidR="00F75DE6" w:rsidRPr="00F75DE6" w:rsidRDefault="00F75DE6" w:rsidP="00F75DE6">
      <w:pPr>
        <w:pStyle w:val="a3"/>
        <w:spacing w:before="0" w:beforeAutospacing="0" w:after="0" w:afterAutospacing="0"/>
        <w:ind w:firstLine="708"/>
        <w:jc w:val="both"/>
      </w:pPr>
      <w:r w:rsidRPr="00F75DE6">
        <w:t>Определением Верховного суда РФ от 21.01.2015 года подтвержден вывод антимонопольного органа о том, что положения конкурсной документации, содержащие требования к участнику конкурса об обязательной регистрации на территории ЗАТО (закрытого административно-территориального образования), приводит или может привести к недопущению, ограничению или устранению конкуренции.</w:t>
      </w:r>
    </w:p>
    <w:p w:rsidR="00F75DE6" w:rsidRPr="00F75DE6" w:rsidRDefault="00F75DE6" w:rsidP="00F75DE6">
      <w:pPr>
        <w:pStyle w:val="a3"/>
        <w:spacing w:before="0" w:beforeAutospacing="0" w:after="0" w:afterAutospacing="0"/>
        <w:ind w:firstLine="708"/>
        <w:jc w:val="both"/>
      </w:pPr>
      <w:r w:rsidRPr="00F75DE6">
        <w:t>Свой вывод суд обосновал следующим. </w:t>
      </w:r>
    </w:p>
    <w:p w:rsidR="00F75DE6" w:rsidRPr="00F75DE6" w:rsidRDefault="00F75DE6" w:rsidP="00F75DE6">
      <w:pPr>
        <w:pStyle w:val="a3"/>
        <w:spacing w:before="0" w:beforeAutospacing="0" w:after="0" w:afterAutospacing="0"/>
        <w:ind w:firstLine="708"/>
        <w:jc w:val="both"/>
      </w:pPr>
      <w:r w:rsidRPr="00F75DE6">
        <w:t>Согласно п. 2.4 ст. 3 Закона РФ "О закрытом административно-территориальном образовании"  право осуществлять предпринимательскую деятельность на территории закрытого административно-территориального образования имеют юридические и физические лица, отвечающие требованиям обеспечения особого режима безопасного функционирования организаций и (или) объектов в закрытом административно-территориальном образовании.</w:t>
      </w:r>
    </w:p>
    <w:p w:rsidR="00F75DE6" w:rsidRPr="00F75DE6" w:rsidRDefault="00F75DE6" w:rsidP="00F75DE6">
      <w:pPr>
        <w:pStyle w:val="a3"/>
        <w:spacing w:before="0" w:beforeAutospacing="0" w:after="0" w:afterAutospacing="0"/>
        <w:ind w:firstLine="708"/>
        <w:jc w:val="both"/>
      </w:pPr>
      <w:r w:rsidRPr="00F75DE6">
        <w:t xml:space="preserve">Из содержания указанной нормы следует, что на </w:t>
      </w:r>
      <w:proofErr w:type="gramStart"/>
      <w:r w:rsidRPr="00F75DE6">
        <w:t>территории</w:t>
      </w:r>
      <w:proofErr w:type="gramEnd"/>
      <w:r w:rsidRPr="00F75DE6">
        <w:t xml:space="preserve"> ЗАТО не допускается деятельность организаций, учредителями которой являются иностранные граждане, лица без гражданства иностранные организации, иностранные некоммерческие неправительственные организации, отделения иностранных некоммерческих неправительственных организаций, а также деятельность международных организаций (объединений).</w:t>
      </w:r>
    </w:p>
    <w:p w:rsidR="00F75DE6" w:rsidRPr="00F75DE6" w:rsidRDefault="00F75DE6" w:rsidP="00F75DE6">
      <w:pPr>
        <w:pStyle w:val="a3"/>
        <w:spacing w:before="0" w:beforeAutospacing="0" w:after="0" w:afterAutospacing="0"/>
        <w:ind w:firstLine="708"/>
        <w:jc w:val="both"/>
      </w:pPr>
      <w:r w:rsidRPr="00F75DE6">
        <w:t xml:space="preserve">Остальные положения названной статьи не содержат запрета на осуществление деятельности на </w:t>
      </w:r>
      <w:proofErr w:type="gramStart"/>
      <w:r w:rsidRPr="00F75DE6">
        <w:t>территории</w:t>
      </w:r>
      <w:proofErr w:type="gramEnd"/>
      <w:r w:rsidRPr="00F75DE6">
        <w:t xml:space="preserve"> ЗАТО иным юридическим лицам и предпринимателям, а </w:t>
      </w:r>
      <w:r w:rsidRPr="00F75DE6">
        <w:lastRenderedPageBreak/>
        <w:t>устанавливают особый режим безопасного функционирования организаций и объектов в ЗАТО, предусматривающий применительно к ведению хозяйственной и предпринимательской деятельности ограничения, вытекающие из ограничений на въезд на территорию ЗАТО.</w:t>
      </w:r>
    </w:p>
    <w:p w:rsidR="00F75DE6" w:rsidRDefault="00F75DE6" w:rsidP="00F75DE6">
      <w:pPr>
        <w:pStyle w:val="a3"/>
        <w:spacing w:before="0" w:beforeAutospacing="0" w:after="0" w:afterAutospacing="0"/>
        <w:ind w:firstLine="708"/>
        <w:jc w:val="both"/>
      </w:pPr>
      <w:r w:rsidRPr="00F75DE6">
        <w:t xml:space="preserve">Несмотря на то, что в ЗАТО установлены специальные правила осуществления хозяйственной деятельности (условия и порядок получения разрешения на въезд работников на территорию ЗАТО), которые участники проводимых конкурсов должны учитывать при подаче заявок </w:t>
      </w:r>
      <w:proofErr w:type="gramStart"/>
      <w:r w:rsidRPr="00F75DE6">
        <w:t>и</w:t>
      </w:r>
      <w:proofErr w:type="gramEnd"/>
      <w:r w:rsidRPr="00F75DE6">
        <w:t xml:space="preserve"> безусловно соблюдать в случае признания их победителями, положения действующего законодательства не могут быть истолкованы как исключающие саму возможность осуществления такой деятельности и участие в конкурсных процедурах российских хозяйственных обществ, не зарегистрированных на территории ЗАТО.</w:t>
      </w:r>
    </w:p>
    <w:p w:rsidR="00900E0B" w:rsidRDefault="00900E0B" w:rsidP="00F75DE6">
      <w:pPr>
        <w:pStyle w:val="a3"/>
        <w:spacing w:before="0" w:beforeAutospacing="0" w:after="0" w:afterAutospacing="0"/>
        <w:ind w:firstLine="708"/>
        <w:jc w:val="both"/>
      </w:pPr>
    </w:p>
    <w:p w:rsidR="00900E0B" w:rsidRPr="00F75DE6" w:rsidRDefault="00900E0B" w:rsidP="00F75DE6">
      <w:pPr>
        <w:pStyle w:val="a3"/>
        <w:spacing w:before="0" w:beforeAutospacing="0" w:after="0" w:afterAutospacing="0"/>
        <w:ind w:firstLine="708"/>
        <w:jc w:val="both"/>
      </w:pPr>
    </w:p>
    <w:p w:rsidR="00F75DE6" w:rsidRPr="00F75DE6" w:rsidRDefault="00F75DE6" w:rsidP="00F75DE6">
      <w:pPr>
        <w:spacing w:after="0" w:line="240" w:lineRule="auto"/>
        <w:rPr>
          <w:sz w:val="24"/>
          <w:szCs w:val="24"/>
        </w:rPr>
      </w:pPr>
    </w:p>
    <w:sectPr w:rsidR="00F75DE6" w:rsidRPr="00F75DE6" w:rsidSect="00CD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5DE6"/>
    <w:rsid w:val="001653D0"/>
    <w:rsid w:val="004323ED"/>
    <w:rsid w:val="004F0BA9"/>
    <w:rsid w:val="006B62BD"/>
    <w:rsid w:val="00877FE7"/>
    <w:rsid w:val="00900E0B"/>
    <w:rsid w:val="00B24163"/>
    <w:rsid w:val="00BE0C45"/>
    <w:rsid w:val="00C01D7E"/>
    <w:rsid w:val="00CD72C2"/>
    <w:rsid w:val="00E4195E"/>
    <w:rsid w:val="00EC0172"/>
    <w:rsid w:val="00F7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C2"/>
  </w:style>
  <w:style w:type="paragraph" w:styleId="2">
    <w:name w:val="heading 2"/>
    <w:basedOn w:val="a"/>
    <w:link w:val="20"/>
    <w:uiPriority w:val="9"/>
    <w:qFormat/>
    <w:rsid w:val="00F75D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5D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2015-09-04T10:15:00Z</dcterms:created>
  <dcterms:modified xsi:type="dcterms:W3CDTF">2015-09-04T11:10:00Z</dcterms:modified>
</cp:coreProperties>
</file>