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/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12.04.202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bookmarkStart w:id="0" w:name="__DdeLink__1348_1327376555"/>
      <w:bookmarkEnd w:id="0"/>
      <w:r>
        <w:rPr>
          <w:b/>
          <w:color w:val="0000FF"/>
        </w:rPr>
        <w:t>Больше 620 тыс. россиян получили проактивные уведомления о будущей пенсии с начала года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С начала года Социальный фонд направил 624 тысячам россиян проактивные уведомления о размере будущей страховой пенсии по старости. Такие сведения поступили в личный кабинет на портале госуслуг мужчинам, достигшим 45 лет, и женщинам, которым исполнилось 40 лет.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В уведомлении Социального фонда содержится информация о страховом стаже, количестве заработанных на данный момент пенсионных коэффициентов и размере пенсии, рассчитанной по этим показателям. В сведениях также указан размер пенсионных накоплений, если они формируются.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Проактивное информирование даёт гражданам возможность проверить переданные работодателями сведения и заранее оценить свои пенсионные права. За все время с момента начала рассылки такие уведомления получили порядка 32 млн россиян.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Гражданам, у которых нет учетной записи на портале госуслуг, информация о формировании пенсии доступна в клиентских службах Социального фонда.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Напомним, проактивное информирование о размере сформированной пенсии и условиях, при которых она назначается, поступает раз в три года женщинам начиная с 40 лет и мужчинам начиная с 45 лет.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0E3D-2B91-4785-857A-0F0C63F1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2023-04-12T03:29:00Z</dcterms:created>
  <dc:creator>ANM</dc:creator>
  <dc:language>ru-RU</dc:language>
  <cp:lastPrinted>2022-02-17T01:49:00Z</cp:lastPrinted>
  <dcterms:modified xsi:type="dcterms:W3CDTF">2023-04-12T15:05:24Z</dcterms:modified>
  <cp:revision>8</cp:revision>
  <dc:title>Отделение Пенсионного фонда РФ по Томской области</dc:title>
</cp:coreProperties>
</file>