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Web"/>
        <w:ind w:right="2" w:hanging="0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24.11.2023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Поздравление ко Дню матери Дмитрия Мальцева, управляющего Отделением СФР по Томской области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center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Дорогие наши матери и бабушки! Милые женщины!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br/>
        <w:t>От всего коллектива Отделения пенсионного и социального фонда РФ по Томской области примите самые теплые и искренние поздравления с приближающимся Днем матери!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center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 традиции в последнее воскресенье ноября мы отмечаем один из самых теплых праздников, посвящённый самым близким и дорогим сердцу людям – нашим мамам. Именно Вам мы обязаны жизнью, семейным уютом, умением любить и прощать, верить в успех, всем лучшим, что в нас есть. И не важно, сколько нам лет – мамино доброе слово, её ласковый взгляд, мудрый совет нужны и ребенку, и взрослому.Празднование Дня матери – это замечательная возможность выразить безграничную признательность за все, что делают для нас наши мамы, за их любовь и понимание.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center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этот замечательный день желаем Вам тепла домашнего очага, надежной мужской поддержки, здоровья, женского счастья и благополучия! Пусть Ваша самоотверженность, терпение, самоотдача, труд вернутся заботой и благодарностью Ваших детей и всего общества. Пусть дети растут талантливыми и любящими, внуки дарят заботу и внимание!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center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/>
        <w:drawing>
          <wp:inline distT="0" distB="0" distL="0" distR="0">
            <wp:extent cx="6580505" cy="5027930"/>
            <wp:effectExtent l="0" t="0" r="0" b="0"/>
            <wp:docPr id="2" name="Picture" descr="https://sfr.gov.ru/files/branches/tomsk/Bez_i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sfr.gov.ru/files/branches/tomsk/Bez_imen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502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ru-RU" w:bidi="ar-SA"/>
        </w:rPr>
      </w:pPr>
      <w:r>
        <w:rPr>
          <w:rFonts w:eastAsia="Times New Roman" w:cs="Times New Roman"/>
          <w:b/>
          <w:color w:val="005E8A"/>
          <w:sz w:val="28"/>
          <w:szCs w:val="28"/>
        </w:rPr>
      </w:r>
      <w:r/>
    </w:p>
    <w:p>
      <w:pPr>
        <w:pStyle w:val="NormalWeb"/>
        <w:ind w:right="2" w:hanging="0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4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sfr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LibreOffice/4.3.6.2$Windows_x86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2023-11-24T01:27:00Z</dcterms:created>
  <dc:creator>Колтыпина Галина Алексеевна</dc:creator>
  <dc:language>ru-RU</dc:language>
  <dcterms:modified xsi:type="dcterms:W3CDTF">2023-11-24T09:36:24Z</dcterms:modified>
  <cp:revision>4</cp:revision>
</cp:coreProperties>
</file>