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Пресс-релиз от 16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Более  5 тыс. медицинских работников Томской области получают досрочную страховую пенсию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 Томской области проживает  295181 пенсионер, из них получателями досрочной пенсии являются 5186  медицинских работников. Полный перечень профессий и должностей для указанной категории граждан указан в постановлении Правительства РФ от 29.10.2002 № 781.</w:t>
        <w:br/>
        <w:t>Для назначения досрочной пенсии медикам продолжительность специального стажа должна составлять (п. 20  ч. 1 ст. 30 Федерального закона № 400-ФЗ): не менее 25 лет в сельской местности и поселках городского типа, не менее 30 лет в городах, сельской местности и поселках городского типа либо только в городах.</w:t>
        <w:br/>
        <w:t xml:space="preserve">Напомним, что в 2022 году продолжается переходный период по повышению пенсионного возраста, в течение которого меняется и срок выхода на досрочную пенсию медицинских работников. Таким образом, назначение пенсии медикам постепенно сдвигается, и досрочный выход происходит не с момента выработки специального стажа. Например, врач, который выработал необходимый стаж в августе 2021 года, сможет выйти на пенсию в соответствии с переходным периодом через 3 года, то есть в августе 2024 года (требование к количеству индивидуальных пенсионных коэффициентов – 28,2). Если специальный стаж будет приобретен в 2022 году, то досрочную пенсию можно оформить в 2026 году (требование к количеству индивидуальных пенсионных коэффициентов – 30). Начиная с 2023 года срок, на который будет переноситься право на назначение досрочной пенсии для медицинских работников – 5 лет (требование к количеству индивидуальных пенсионных коэффициентов – 30). </w:t>
        <w:br/>
        <w:t>С заявлением о назначении досрочной страховой пенсии медицинские работники могут обратиться в клиентскую службу ПФР и до наступления срока выхода на пенсию,  но не ранее чем за месяц до соответствующего срока.</w:t>
        <w:br/>
        <w:t xml:space="preserve">В стаж для досрочного выхода на пенсию включаются: </w:t>
        <w:br/>
        <w:t>- периоды выплаты пособий по временной нетрудоспособности (больничный лист);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периоды ежегодных оплачиваемых отпусков;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периоды отпуска по беременности и родам;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периоды отпуска по уходу за ребенком, если  такой  отпуск начался до 6.10.1992 (независимо от его продолжительности и прерывания);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периоды учебных отпусков до 30.06.2007 (в том числе оплачиваемый после 1.01.2002);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курсы повышения квалификации при сохранении места работы (должности), средней заработной платы и уплаты страховых взносов на обязательное пенсионное страхование.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При этом, некоторые  периоды  медицинской деятельности, например, работа в сельской местности (за исключением отпуска по уходу за ребенком),  включаются в медицинский стаж в льготном порядке исчисления  (например, 1 год работы за 1 год 3 месяца) (Постановление Правительства РФ от 29.10.2002 № 781).</w:t>
      </w:r>
      <w:r/>
    </w:p>
    <w:p>
      <w:pPr>
        <w:pStyle w:val="Normal"/>
        <w:ind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</w:pPr>
      <w:r>
        <w:rPr>
          <w:color w:val="000000"/>
          <w:lang w:val="en-US" w:eastAsia="ru-RU"/>
        </w:rPr>
        <w:t>E-mail: smi @080.pfr.ru</w:t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8FA5-E78F-4FEB-8776-938EA8D6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Application>LibreOffice/4.3.6.2$Windows_x86 LibreOffice_project/d50a87b2e514536ed401c18000dad4660b6a169e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2022-08-16T15:08:34Z</dcterms:modified>
  <cp:revision>14</cp:revision>
  <dc:title>Отделение Пенсионного фонда РФ по Томской области</dc:title>
</cp:coreProperties>
</file>