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26 июля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Отделение ПФР по Томской области перечислило более 97 миллионов рублей беременным женщинам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- Данное пособие назначается беременным женщинам, проживающим на территории РФ, вставшим на учет в медицинской организации в первые 12 недель беременности, если  в собственности семьи нет движимого или недвижимого имущества превышающего требований, а ежемесячный доход на каждого члена семьи не превышает регионального прожиточного минимума на душу населения, - разъясняет управляющий ОПФР по Томской области Дмитрий Мальцев. - Напомню, что величина прожиточного минимума в Томской области на душу населения составляет  15138,00 рублей  для первой группы муниципальных образований Томской области и  13 767,00  рублей - для второй группы.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Одним из условий установления выплаты является наличие заработка  у трудоспособных членов семьи (пенсии, стипендии, доходов от трудовой или предпринимательской деятельности) либо объективное отсутствие доходов  (из-за определенных жизненных обстоятельств) - так называемое правило «нулевого дохода».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Размер ежемесячного пособия устанавливается в размере  50%  прожиточного минимума для трудоспособного населения в регионе проживания по месту жительства (пребывания) или фактического проживания . Для Томской области сумма выплаты с 01.06.2022  составляет 8250,50 рублей для первой группы и 7 502,50 рублей для второй группы.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Подать заявление будущая мама может, начиная с 12 недели беременности. При этом пособие выплачивается, начиная с месяца постановки на учет медицинской организации, но не ранее наступления 6 недель беременности. Подать заявление можно через Портал Госуслуг (gosuslugi.ru)  или в клиентскую службу Пенсионного фонда России по месту жительства. Получить ответы на вопросы установления назначения ежемесячных пособий беременным можно в контакт-центре Отделения ПФР по Томской области: 8-800-600-04-17.</w:t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rFonts w:eastAsia="Times New Roman" w:cs="Times New Roman"/>
          <w:b/>
          <w:color w:val="0000FF"/>
          <w:sz w:val="24"/>
          <w:szCs w:val="24"/>
          <w:lang w:val="ru-RU" w:eastAsia="ar-SA" w:bidi="ar-SA"/>
        </w:rPr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bookmarkStart w:id="0" w:name="_GoBack"/>
      <w:bookmarkStart w:id="1" w:name="_GoBack"/>
      <w:bookmarkEnd w:id="1"/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ar-SA" w:bidi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ru-RU" w:bidi="ar-SA"/>
        </w:rPr>
      </w:pPr>
      <w:r>
        <w:rPr>
          <w:rFonts w:eastAsia="Times New Roman" w:cs="Times New Roman"/>
          <w:color w:val="000000"/>
          <w:sz w:val="24"/>
          <w:szCs w:val="24"/>
          <w:lang w:val="en-US" w:eastAsia="ru-RU" w:bidi="ar-SA"/>
        </w:rPr>
      </w:r>
      <w:r/>
    </w:p>
    <w:p>
      <w:pPr>
        <w:pStyle w:val="Normal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ab/>
        <w:tab/>
        <w:tab/>
        <w:tab/>
        <w:tab/>
        <w:tab/>
        <w:tab/>
        <w:tab/>
        <w:tab/>
        <w:tab/>
        <w:tab/>
        <w:tab/>
      </w:r>
      <w:r/>
    </w:p>
    <w:p>
      <w:pPr>
        <w:pStyle w:val="Normal"/>
        <w:suppressAutoHyphens w:val="false"/>
        <w:spacing w:beforeAutospacing="1" w:afterAutospacing="1"/>
        <w:rPr>
          <w:sz w:val="28"/>
          <w:sz w:val="28"/>
          <w:szCs w:val="28"/>
          <w:rFonts w:ascii="Times New Roman" w:hAnsi="Times New Roman" w:eastAsia="Times New Roman" w:cs="Times New Roman"/>
          <w:color w:val="FF0000"/>
          <w:lang w:val="en-US" w:eastAsia="ru-RU" w:bidi="ar-SA"/>
        </w:rPr>
      </w:pPr>
      <w:r>
        <w:rPr>
          <w:rFonts w:eastAsia="Times New Roman" w:cs="Times New Roman"/>
          <w:color w:val="FF0000"/>
          <w:sz w:val="28"/>
          <w:szCs w:val="28"/>
          <w:lang w:val="en-US" w:eastAsia="ru-RU" w:bidi="ar-SA"/>
        </w:rPr>
      </w:r>
      <w:r/>
    </w:p>
    <w:p>
      <w:pPr>
        <w:pStyle w:val="Normal"/>
        <w:suppressAutoHyphens w:val="false"/>
        <w:spacing w:beforeAutospacing="1" w:afterAutospacing="1"/>
        <w:ind w:left="70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7EF19-40A1-41BF-B6E1-92688317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LibreOffice/4.3.6.2$Windows_x86 LibreOffice_project/d50a87b2e514536ed401c18000dad4660b6a169e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2022-07-13T04:56:00Z</dcterms:created>
  <dc:creator>ANM</dc:creator>
  <dc:language>ru-RU</dc:language>
  <cp:lastPrinted>2022-02-17T01:49:00Z</cp:lastPrinted>
  <dcterms:modified xsi:type="dcterms:W3CDTF">2022-07-26T09:59:26Z</dcterms:modified>
  <cp:revision>9</cp:revision>
  <dc:title>Отделение Пенсионного фонда РФ по Томской области</dc:title>
</cp:coreProperties>
</file>