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jc w:val="center"/>
        <w:rPr>
          <w:b/>
          <w:b/>
          <w:color w:val="0000FF"/>
        </w:rPr>
      </w:pPr>
      <w:r>
        <w:rPr/>
        <w:drawing>
          <wp:inline distT="0" distB="0" distL="0" distR="0">
            <wp:extent cx="871855" cy="87185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color w:val="0000FF"/>
          <w:sz w:val="24"/>
          <w:szCs w:val="24"/>
          <w:lang w:eastAsia="ar-SA"/>
        </w:rPr>
      </w:r>
      <w:r/>
    </w:p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>
          <w:b/>
          <w:color w:val="0000FF"/>
        </w:rPr>
        <w:t>Отделение Социального фонда РФ по Томской области</w:t>
        <w:tab/>
      </w:r>
      <w:r/>
    </w:p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color w:val="0000FF"/>
          <w:sz w:val="24"/>
          <w:szCs w:val="24"/>
          <w:lang w:eastAsia="ar-SA"/>
        </w:rPr>
      </w:r>
      <w:r/>
    </w:p>
    <w:p>
      <w:pPr>
        <w:pStyle w:val="Normal"/>
        <w:tabs>
          <w:tab w:val="left" w:pos="7200" w:leader="none"/>
        </w:tabs>
        <w:rPr>
          <w:b/>
          <w:b/>
          <w:color w:val="0000FF"/>
          <w:lang w:eastAsia="ru-RU"/>
        </w:rPr>
      </w:pPr>
      <w:r>
        <w:rPr/>
      </w:r>
      <w:r/>
    </w:p>
    <w:p>
      <w:pPr>
        <w:pStyle w:val="Normal"/>
        <w:tabs>
          <w:tab w:val="left" w:pos="7200" w:leader="none"/>
        </w:tabs>
        <w:rPr>
          <w:b/>
          <w:b/>
          <w:color w:val="0000FF"/>
        </w:rPr>
      </w:pPr>
      <w:r>
        <w:rPr>
          <w:b/>
          <w:color w:val="0000FF"/>
        </w:rPr>
        <w:t>Пресс-релиз от 15.05.2023</w:t>
      </w:r>
      <w:r/>
    </w:p>
    <w:p>
      <w:pPr>
        <w:pStyle w:val="Normal"/>
        <w:suppressAutoHyphens w:val="false"/>
        <w:spacing w:beforeAutospacing="1" w:afterAutospacing="1"/>
        <w:rPr>
          <w:b/>
          <w:b/>
          <w:bCs/>
          <w:color w:val="0000FF"/>
        </w:rPr>
      </w:pPr>
      <w:bookmarkStart w:id="0" w:name="__DdeLink__19210_1311447380"/>
      <w:r>
        <w:rPr>
          <w:b/>
          <w:bCs/>
          <w:color w:val="0000FF"/>
        </w:rPr>
        <w:t>Центр общения старшего поколения ОСФР по Томской области</w:t>
      </w:r>
      <w:bookmarkEnd w:id="0"/>
      <w:r>
        <w:rPr>
          <w:b/>
          <w:bCs/>
          <w:color w:val="0000FF"/>
        </w:rPr>
        <w:t xml:space="preserve"> помог объединиться людям серебряного возраста</w:t>
      </w:r>
      <w:r/>
    </w:p>
    <w:p>
      <w:pPr>
        <w:pStyle w:val="Normal"/>
        <w:suppressAutoHyphens w:val="false"/>
        <w:spacing w:beforeAutospacing="1" w:afterAutospacing="1"/>
        <w:ind w:firstLine="708"/>
        <w:rPr>
          <w:lang w:eastAsia="ru-RU"/>
        </w:rPr>
      </w:pPr>
      <w:r>
        <w:rPr>
          <w:lang w:eastAsia="ru-RU"/>
        </w:rPr>
        <w:t>Человеку, вышедшему на заслуженный отдых, важно сохранять связи с обществом и иметь возможность самореализации. Вот почему создание условий для активного долголетия является одной из ключевых задач государства. Именно поэтому отделение Социального фонда России по Томской области открыло центр общения старшего поколения.</w:t>
      </w:r>
      <w:r/>
    </w:p>
    <w:p>
      <w:pPr>
        <w:pStyle w:val="Normal"/>
        <w:suppressAutoHyphens w:val="false"/>
        <w:spacing w:beforeAutospacing="1" w:afterAutospacing="1"/>
        <w:ind w:firstLine="708"/>
        <w:rPr>
          <w:lang w:eastAsia="ru-RU"/>
        </w:rPr>
      </w:pPr>
      <w:r>
        <w:rPr>
          <w:lang w:eastAsia="ru-RU"/>
        </w:rPr>
        <w:t>Социальная миссия центров – организовать досуг людей старшего поколения, чтобы создать атмосферу заботы и внимания, поддержать ритм жизни и интерес к ней, открыть дополнительные возможности для самореализации. Сотрудники регионального Соцфонда создают в центре комфортную атмосферу для творчества, учебы и общения с близкими по духу собеседниками. Фонд привлекает к этой работе местные учреждения культуры, общественные объединения, медицинские и другие организации.</w:t>
      </w:r>
      <w:r/>
    </w:p>
    <w:p>
      <w:pPr>
        <w:pStyle w:val="Normal"/>
        <w:suppressAutoHyphens w:val="false"/>
        <w:spacing w:beforeAutospacing="1" w:afterAutospacing="1"/>
        <w:ind w:firstLine="708"/>
        <w:rPr>
          <w:lang w:eastAsia="ru-RU"/>
        </w:rPr>
      </w:pPr>
      <w:r>
        <w:rPr>
          <w:i/>
          <w:iCs/>
          <w:lang w:eastAsia="ru-RU"/>
        </w:rPr>
        <w:t>- «Для раскрытия творческого потенциала гости могут посещать кружки по интересам, например по кулинарии, шашкам и многому другому, также проводятся различные мастер-классы. Чтобы поддержать стремление людей серебряного возраста к новым знаниям и навыкам, центр общения старшего поколения в Клиентской службе Каргасокского района проводит обучающие лекции, тренинги и семинары. Особое внимание уделяется повышению пенсионной и компьютерной грамотности. Пенсионеров учат пользоваться различными электронными сервисами, искать надежные источники информации в интернете»,</w:t>
      </w:r>
      <w:r>
        <w:rPr>
          <w:lang w:eastAsia="ru-RU"/>
        </w:rPr>
        <w:t xml:space="preserve"> - отметил управляющий ОСФР по Томской области </w:t>
      </w:r>
      <w:r>
        <w:rPr>
          <w:b/>
          <w:bCs/>
          <w:lang w:eastAsia="ru-RU"/>
        </w:rPr>
        <w:t xml:space="preserve">Дмитрий Мальцев. </w:t>
      </w:r>
      <w:r/>
    </w:p>
    <w:p>
      <w:pPr>
        <w:pStyle w:val="Normal"/>
        <w:suppressAutoHyphens w:val="false"/>
        <w:spacing w:beforeAutospacing="1" w:afterAutospacing="1"/>
        <w:ind w:firstLine="708"/>
        <w:rPr>
          <w:lang w:eastAsia="ru-RU"/>
        </w:rPr>
      </w:pPr>
      <w:r>
        <w:rPr>
          <w:lang w:eastAsia="ru-RU"/>
        </w:rPr>
        <w:t>Также у гостей центра популярны лекции о здоровом образе жизни, правильном питании и занятия с психологом. Например, на май запланирована лекция на тему: «Манипуляция людьми: как не попасться». Кроме того, востребованы встречи с представителями местных органов власти.</w:t>
      </w:r>
      <w:r/>
    </w:p>
    <w:p>
      <w:pPr>
        <w:pStyle w:val="Normal"/>
        <w:suppressAutoHyphens w:val="false"/>
        <w:spacing w:beforeAutospacing="1" w:afterAutospacing="1"/>
        <w:ind w:firstLine="708"/>
        <w:rPr>
          <w:lang w:eastAsia="ru-RU"/>
        </w:rPr>
      </w:pPr>
      <w:r>
        <w:rPr>
          <w:i/>
          <w:iCs/>
          <w:lang w:eastAsia="ru-RU"/>
        </w:rPr>
        <w:t>-  «Кто, как не люди старшего поколения, расскажут нам, что их мотивирует, интересует, что радует и вдохновляет. Поэтому многие мероприятия уже проходят по инициативе самих гостей центра общения. И мы этому очень рады»,</w:t>
      </w:r>
      <w:r>
        <w:rPr>
          <w:lang w:eastAsia="ru-RU"/>
        </w:rPr>
        <w:t xml:space="preserve"> – добавил он.</w:t>
      </w:r>
      <w:r/>
    </w:p>
    <w:p>
      <w:pPr>
        <w:pStyle w:val="Normal"/>
        <w:suppressAutoHyphens w:val="false"/>
        <w:spacing w:beforeAutospacing="1" w:afterAutospacing="1"/>
        <w:ind w:firstLine="708"/>
        <w:rPr>
          <w:lang w:eastAsia="ru-RU"/>
        </w:rPr>
      </w:pPr>
      <w:r>
        <w:rPr>
          <w:lang w:eastAsia="ru-RU"/>
        </w:rPr>
        <w:t xml:space="preserve">Ознакомиться с планом мероприятий на 2023 год можно на сайте ОСФР - </w:t>
      </w:r>
      <w:hyperlink r:id="rId3">
        <w:r>
          <w:rPr>
            <w:rStyle w:val="Style11"/>
            <w:lang w:eastAsia="ru-RU"/>
          </w:rPr>
          <w:t>https://sfr.gov.ru/branches/tomsk/info/~0/8727</w:t>
        </w:r>
      </w:hyperlink>
      <w:r>
        <w:rPr>
          <w:lang w:eastAsia="ru-RU"/>
        </w:rPr>
        <w:t xml:space="preserve">. </w:t>
      </w:r>
      <w:r/>
    </w:p>
    <w:p>
      <w:pPr>
        <w:pStyle w:val="Normal"/>
        <w:suppressAutoHyphens w:val="false"/>
        <w:spacing w:beforeAutospacing="1" w:afterAutospacing="1"/>
        <w:ind w:firstLine="708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sz w:val="24"/>
          <w:szCs w:val="24"/>
          <w:lang w:eastAsia="ru-RU"/>
        </w:rPr>
      </w:r>
      <w:r/>
    </w:p>
    <w:p>
      <w:pPr>
        <w:pStyle w:val="Normal"/>
        <w:tabs>
          <w:tab w:val="left" w:pos="7200" w:leader="none"/>
        </w:tabs>
        <w:rPr>
          <w:b/>
          <w:b/>
          <w:color w:val="0000FF"/>
          <w:lang w:eastAsia="ru-RU"/>
        </w:rPr>
      </w:pPr>
      <w:r>
        <w:rPr/>
      </w:r>
      <w:r/>
    </w:p>
    <w:p>
      <w:pPr>
        <w:pStyle w:val="Normal"/>
        <w:tabs>
          <w:tab w:val="left" w:pos="7200" w:leader="none"/>
        </w:tabs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bCs/>
          <w:color w:val="0000FF"/>
          <w:sz w:val="24"/>
          <w:szCs w:val="24"/>
          <w:lang w:eastAsia="ar-SA"/>
        </w:rPr>
      </w:r>
      <w:r/>
    </w:p>
    <w:p>
      <w:pPr>
        <w:pStyle w:val="Normal"/>
        <w:suppressAutoHyphens w:val="false"/>
        <w:ind w:firstLine="567"/>
        <w:jc w:val="both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Социального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60-95-12; 60-95-11;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smi@080.pfr.ru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sfr.gov.ru/branches/tomsk/info/~0/8727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522A7-6614-4A7F-AD89-0AE0D4AF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LibreOffice/4.3.6.2$Windows_x86 LibreOffice_project/d50a87b2e514536ed401c18000dad4660b6a169e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2023-05-10T02:49:00Z</dcterms:created>
  <dc:creator>ANM</dc:creator>
  <dc:language>ru-RU</dc:language>
  <cp:lastPrinted>2022-02-17T01:49:00Z</cp:lastPrinted>
  <dcterms:modified xsi:type="dcterms:W3CDTF">2023-05-19T15:18:36Z</dcterms:modified>
  <cp:revision>5</cp:revision>
  <dc:title>Отделение Пенсионного фонда РФ по Томской области</dc:title>
</cp:coreProperties>
</file>