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1A60A5" w:rsidRPr="0012394B" w:rsidRDefault="001A60A5" w:rsidP="001A60A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(в редакции решения </w:t>
      </w:r>
      <w:r w:rsidRPr="0012394B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26.01.2023</w:t>
      </w:r>
      <w:r w:rsidRPr="0012394B">
        <w:rPr>
          <w:rFonts w:ascii="Arial" w:hAnsi="Arial" w:cs="Arial"/>
          <w:i/>
        </w:rPr>
        <w:t xml:space="preserve"> № </w:t>
      </w:r>
      <w:r>
        <w:rPr>
          <w:rFonts w:ascii="Arial" w:hAnsi="Arial" w:cs="Arial"/>
          <w:i/>
        </w:rPr>
        <w:t>1</w:t>
      </w:r>
      <w:r w:rsidRPr="0012394B">
        <w:rPr>
          <w:rFonts w:ascii="Arial" w:hAnsi="Arial" w:cs="Arial"/>
          <w:i/>
        </w:rPr>
        <w:t>)</w:t>
      </w:r>
    </w:p>
    <w:p w:rsidR="001A60A5" w:rsidRPr="001806AD" w:rsidRDefault="001A60A5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00623" w:rsidRPr="001806AD" w:rsidRDefault="00600623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623" w:rsidRPr="001806AD" w:rsidRDefault="00600623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1A60A5" w:rsidRPr="00DC2DBD" w:rsidRDefault="001A60A5" w:rsidP="001A60A5">
      <w:pPr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1. </w:t>
      </w:r>
      <w:bookmarkStart w:id="0" w:name="_Hlk23957174"/>
      <w:r w:rsidRPr="00DC2DBD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DC2DBD">
        <w:rPr>
          <w:rFonts w:ascii="Arial" w:hAnsi="Arial" w:cs="Arial"/>
        </w:rPr>
        <w:t>: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proofErr w:type="gramStart"/>
      <w:r w:rsidRPr="00DC2DBD">
        <w:rPr>
          <w:rFonts w:ascii="Arial" w:hAnsi="Arial" w:cs="Arial"/>
        </w:rPr>
        <w:t>1)общий объем доходов бюджета муниципального образования «Молчановский район» в сумме 814</w:t>
      </w:r>
      <w:r w:rsidRPr="00DC2DBD">
        <w:rPr>
          <w:rFonts w:ascii="Arial" w:hAnsi="Arial" w:cs="Arial"/>
          <w:lang w:val="en-US"/>
        </w:rPr>
        <w:t> </w:t>
      </w:r>
      <w:r w:rsidRPr="00DC2DBD">
        <w:rPr>
          <w:rFonts w:ascii="Arial" w:hAnsi="Arial" w:cs="Arial"/>
        </w:rPr>
        <w:t>611,7тыс. рублей, в том числе налоговые и неналоговые доходы в сумме 85</w:t>
      </w:r>
      <w:r w:rsidRPr="00DC2DBD">
        <w:rPr>
          <w:rFonts w:ascii="Arial" w:hAnsi="Arial" w:cs="Arial"/>
          <w:lang w:val="en-US"/>
        </w:rPr>
        <w:t> </w:t>
      </w:r>
      <w:r w:rsidRPr="00DC2DBD">
        <w:rPr>
          <w:rFonts w:ascii="Arial" w:hAnsi="Arial" w:cs="Arial"/>
        </w:rPr>
        <w:t>903,7тыс. рублей, безвозмездные поступления в сумме 728</w:t>
      </w:r>
      <w:r w:rsidRPr="00DC2DBD">
        <w:rPr>
          <w:rFonts w:ascii="Arial" w:hAnsi="Arial" w:cs="Arial"/>
          <w:lang w:val="en-US"/>
        </w:rPr>
        <w:t> </w:t>
      </w:r>
      <w:r w:rsidRPr="00DC2DBD">
        <w:rPr>
          <w:rFonts w:ascii="Arial" w:hAnsi="Arial" w:cs="Arial"/>
        </w:rPr>
        <w:t>708,0тыс. рублей;</w:t>
      </w:r>
      <w:proofErr w:type="gramEnd"/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2) общий объем расходов бюджета муниципального образования «Молчановский район» в сумме 853 533,6тыс. рублей;</w:t>
      </w:r>
    </w:p>
    <w:p w:rsidR="001A60A5" w:rsidRPr="001A60A5" w:rsidRDefault="001A60A5" w:rsidP="001A60A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A60A5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38 921,9тыс. рублей.</w:t>
      </w:r>
    </w:p>
    <w:p w:rsidR="00600623" w:rsidRPr="001806AD" w:rsidRDefault="00600623" w:rsidP="001A60A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600623" w:rsidRPr="001806AD" w:rsidRDefault="00600623" w:rsidP="005F6B7F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1) общий объем доходов бюджета муниципального образования «Молчановский район» на 2024 год в сумме 547 651,5тыс. рублей, в том числе налоговые и неналоговые доходы в сумме 89 848,8тыс. рублей, безвозмездные поступления в сумме 457 802,7тыс. рублей и на 2025 год в сумме 550 825,3 тыс. рублей, в том числе налоговые и неналоговые в сумме 96 094,3 тыс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. рублей, безвозмездные поступления в сумме 454 731,0тыс.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2) общий объем расходов муниципального образования «Молчановский район» на 2024 год в сумме 544 680,2</w:t>
      </w:r>
      <w:r w:rsidRPr="001806AD">
        <w:rPr>
          <w:rFonts w:ascii="Arial" w:hAnsi="Arial" w:cs="Arial"/>
          <w:color w:val="auto"/>
          <w:sz w:val="24"/>
          <w:szCs w:val="24"/>
        </w:rPr>
        <w:tab/>
        <w:t>тыс. рублей, в том числе условно утвержденных расходы в сумме 3 148,6 тыс. рублей, и на 2025 год в сумме 548 138,7 тыс. рублей, в том числе условно утвержденные расходы в сумме 6 476,8 тыс. рублей;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3) профицит </w:t>
      </w:r>
      <w:bookmarkStart w:id="1" w:name="_Hlk23957670"/>
      <w:r w:rsidRPr="001806AD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1806AD">
        <w:rPr>
          <w:rFonts w:ascii="Arial" w:hAnsi="Arial" w:cs="Arial"/>
        </w:rPr>
        <w:t>на 2024 год в сумме 2 971,3 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4) профицит бюджета муниципального образования «Молчановский район» на 2025 год в сумме 2 686,6тыс. рублей.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</w:t>
      </w:r>
      <w:r w:rsidRPr="001806AD">
        <w:rPr>
          <w:rFonts w:ascii="Arial" w:hAnsi="Arial" w:cs="Arial"/>
        </w:rPr>
        <w:lastRenderedPageBreak/>
        <w:t>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1A60A5" w:rsidRDefault="001A60A5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600623" w:rsidRPr="001806AD" w:rsidRDefault="00600623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600623" w:rsidRPr="001806AD" w:rsidRDefault="00600623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1A60A5" w:rsidRDefault="001A60A5" w:rsidP="00A9089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в сумме 90 279,2 тыс. рублей, в том числе 24 056,7 тыс. рублей в форме дотаций, 34 713,2 тыс. рублей в форме субсидий, 11 398,9 тыс. рублей в форме субвенций, 20 110,4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2024 год в сумме 55 039,2 тыс. рублей, в том числе 24 141,4тыс. рублей в форме дотаций, 19 347,6 тыс. рублей в форме субсидий, 11 450,2 тыс. рублей в форме субвенций, 100,0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2025 год в сумме 55 143,6 тыс. рублей, в том числе 24 220,1тыс. рублей в форме дотаций, 19 347,6 тыс. рублей в форме субсидий, 11 475,9тыс. рублей в форме субвенций, 100,0тыс.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1806AD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600623" w:rsidRPr="001806AD" w:rsidRDefault="00600623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</w:t>
      </w:r>
      <w:r w:rsidRPr="001806AD">
        <w:rPr>
          <w:rFonts w:ascii="Arial" w:hAnsi="Arial" w:cs="Arial"/>
        </w:rPr>
        <w:lastRenderedPageBreak/>
        <w:t>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11. Установить предельную величину: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600623" w:rsidRPr="001806AD" w:rsidRDefault="00600623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600623" w:rsidRPr="001806AD" w:rsidRDefault="00600623" w:rsidP="0061790B">
      <w:pPr>
        <w:rPr>
          <w:rFonts w:ascii="Arial" w:hAnsi="Arial" w:cs="Arial"/>
          <w:lang w:eastAsia="en-US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Молчанвоском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районе, 1,055.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  <w:sectPr w:rsidR="00600623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>
        <w:rPr>
          <w:rFonts w:ascii="Arial" w:hAnsi="Arial" w:cs="Arial"/>
        </w:rPr>
        <w:t xml:space="preserve">      Ю.Ю.</w:t>
      </w:r>
      <w:r w:rsidRPr="001806AD">
        <w:rPr>
          <w:rFonts w:ascii="Arial" w:hAnsi="Arial" w:cs="Arial"/>
        </w:rPr>
        <w:t>Сальков</w:t>
      </w:r>
    </w:p>
    <w:p w:rsidR="00600623" w:rsidRPr="001806AD" w:rsidRDefault="00600623" w:rsidP="00A90895">
      <w:pPr>
        <w:ind w:left="2977" w:firstLine="1134"/>
        <w:rPr>
          <w:rFonts w:ascii="Arial" w:hAnsi="Arial" w:cs="Arial"/>
        </w:r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2" w:name="_GoBack"/>
      <w:bookmarkStart w:id="3" w:name="_Hlk24040008"/>
      <w:bookmarkEnd w:id="2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4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4"/>
    <w:p w:rsidR="00600623" w:rsidRPr="001806AD" w:rsidRDefault="00600623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10297" w:type="dxa"/>
        <w:jc w:val="center"/>
        <w:tblLook w:val="00A0"/>
      </w:tblPr>
      <w:tblGrid>
        <w:gridCol w:w="2977"/>
        <w:gridCol w:w="5820"/>
        <w:gridCol w:w="1500"/>
      </w:tblGrid>
      <w:tr w:rsidR="001A60A5" w:rsidRPr="00DC2DBD" w:rsidTr="001A60A5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5" w:name="RANGE!B3"/>
            <w:bookmarkEnd w:id="5"/>
            <w:r w:rsidRPr="00DC2DB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728 708,0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738 516,7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132 242,8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67 316,9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64 925,9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233 949,8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20220077050000150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1 703,2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20225210050000150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3 196,9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7 612,0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20225497050000150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1 035,0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20225519050000150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lastRenderedPageBreak/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1 111,5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20225750050000150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124 085,8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93 156,7</w:t>
            </w:r>
          </w:p>
        </w:tc>
      </w:tr>
      <w:tr w:rsidR="001A60A5" w:rsidRPr="00DC2DBD" w:rsidTr="001A60A5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0A5" w:rsidRPr="00DC2DBD" w:rsidTr="001A60A5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bookmarkStart w:id="6" w:name="RANGE!C22"/>
            <w:bookmarkEnd w:id="6"/>
            <w:r w:rsidRPr="00DC2DBD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bookmarkStart w:id="7" w:name="RANGE!C21"/>
            <w:bookmarkEnd w:id="7"/>
            <w:r w:rsidRPr="00DC2DBD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9 720,7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DC2DBD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25 354,8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10 622,4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9 048,4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DC2DBD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DC2DBD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DC2DBD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8" w:name="RANGE!B35"/>
            <w:bookmarkEnd w:id="8"/>
            <w:r w:rsidRPr="00DC2DBD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351 844,7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9" w:name="RANGE!B36"/>
            <w:bookmarkEnd w:id="9"/>
            <w:r w:rsidRPr="00DC2DBD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299 284,0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bookmarkStart w:id="10" w:name="RANGE!C58"/>
            <w:bookmarkEnd w:id="10"/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234 197,2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bookmarkStart w:id="11" w:name="RANGE!C52"/>
            <w:bookmarkEnd w:id="11"/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16 056,7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DC2DBD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DC2DBD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DC2DBD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RANGE!B64"/>
            <w:bookmarkEnd w:id="12"/>
            <w:r w:rsidRPr="00DC2DBD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DC2DB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5 755,1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20235120050000150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3" w:name="RANGE!B69"/>
            <w:bookmarkEnd w:id="13"/>
            <w:r w:rsidRPr="00DC2DBD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20 479,4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17 600,4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RANGE!B70"/>
            <w:bookmarkEnd w:id="14"/>
            <w:r w:rsidRPr="00DC2DBD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2DBD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2 18 00000000000000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559,5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2 1860010050000150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459,3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DC2DBD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2DBD">
              <w:rPr>
                <w:rFonts w:ascii="Arial" w:hAnsi="Arial" w:cs="Arial"/>
                <w:bCs/>
                <w:color w:val="000000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- 10 368,2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lastRenderedPageBreak/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- 10 368,2»;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bookmarkStart w:id="15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5"/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  <w:sectPr w:rsidR="00600623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6" w:name="_Hlk24045141"/>
      <w:r w:rsidRPr="001806AD">
        <w:rPr>
          <w:rFonts w:ascii="Arial" w:hAnsi="Arial" w:cs="Arial"/>
          <w:sz w:val="24"/>
          <w:szCs w:val="24"/>
        </w:rPr>
        <w:lastRenderedPageBreak/>
        <w:t>Приложение 1.1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17" w:name="_Hlk24896555"/>
      <w:bookmarkEnd w:id="16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7"/>
    </w:p>
    <w:p w:rsidR="00600623" w:rsidRPr="001806AD" w:rsidRDefault="00600623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600623" w:rsidRPr="001806AD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00623" w:rsidRPr="001806AD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47 064,9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600623" w:rsidRPr="001806AD" w:rsidTr="002049B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600623" w:rsidRPr="001806AD" w:rsidTr="00BB7CB8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600623" w:rsidRPr="001806AD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</w:rPr>
      </w:pPr>
      <w:bookmarkStart w:id="18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8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1A60A5" w:rsidRPr="00DC2DBD" w:rsidTr="001A60A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1A60A5" w:rsidRPr="00DC2DBD" w:rsidTr="001A60A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- 2 686,6</w:t>
            </w:r>
          </w:p>
        </w:tc>
      </w:tr>
      <w:tr w:rsidR="001A60A5" w:rsidRPr="00DC2DBD" w:rsidTr="001A60A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41 893,2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60A5" w:rsidRPr="00DC2DBD" w:rsidTr="001A60A5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38 921,9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- 2 686,6»;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8E3521">
      <w:pPr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9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bookmarkEnd w:id="19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20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20"/>
    </w:p>
    <w:p w:rsidR="00600623" w:rsidRPr="001806AD" w:rsidRDefault="00600623" w:rsidP="00A90895">
      <w:pPr>
        <w:ind w:left="6372" w:firstLine="708"/>
        <w:jc w:val="center"/>
        <w:rPr>
          <w:rFonts w:ascii="Arial" w:hAnsi="Arial" w:cs="Arial"/>
        </w:rPr>
      </w:pPr>
      <w:bookmarkStart w:id="21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600623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2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6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7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7"/>
          </w:p>
        </w:tc>
      </w:tr>
      <w:tr w:rsidR="00600623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9"/>
      <w:tr w:rsidR="00600623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1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bookmarkStart w:id="32" w:name="_Hlk24734609"/>
            <w:bookmarkEnd w:id="30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4"/>
      <w:bookmarkEnd w:id="33"/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4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4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5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5"/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600623" w:rsidRPr="001806AD" w:rsidTr="00A53F8A">
        <w:trPr>
          <w:trHeight w:val="7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A53F8A">
        <w:trPr>
          <w:trHeight w:val="1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5 738,1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5 722,0</w:t>
            </w:r>
          </w:p>
        </w:tc>
      </w:tr>
      <w:tr w:rsidR="00600623" w:rsidRPr="001806AD" w:rsidTr="00A53F8A">
        <w:trPr>
          <w:trHeight w:val="759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623" w:rsidRPr="001806AD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A53F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1B7E1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5 722,0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6F1240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6F1240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12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E13A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E13A44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5 722,0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5711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571160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5 722,0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5711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571160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1806AD">
              <w:rPr>
                <w:rFonts w:ascii="Arial" w:hAnsi="Arial" w:cs="Arial"/>
                <w:b/>
                <w:bCs/>
              </w:rPr>
              <w:lastRenderedPageBreak/>
              <w:t>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5 722,0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E13A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E13A44">
            <w:pPr>
              <w:rPr>
                <w:rFonts w:ascii="Arial" w:hAnsi="Arial" w:cs="Arial"/>
                <w:bCs/>
              </w:rPr>
            </w:pPr>
            <w:proofErr w:type="gramStart"/>
            <w:r w:rsidRPr="001806AD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bCs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</w:t>
            </w:r>
            <w:r w:rsidRPr="001806AD">
              <w:rPr>
                <w:rFonts w:ascii="Arial" w:hAnsi="Arial" w:cs="Arial"/>
                <w:bCs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1806AD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lang w:val="en-US"/>
              </w:rPr>
              <w:t>4 578,</w:t>
            </w:r>
            <w:r w:rsidRPr="001806AD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13A44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lang w:val="en-US"/>
              </w:rPr>
              <w:t>4 578,</w:t>
            </w:r>
            <w:r w:rsidRPr="001806AD">
              <w:rPr>
                <w:rFonts w:ascii="Arial" w:hAnsi="Arial" w:cs="Arial"/>
              </w:rPr>
              <w:t>2</w:t>
            </w:r>
          </w:p>
        </w:tc>
      </w:tr>
      <w:tr w:rsidR="00600623" w:rsidRPr="001806AD" w:rsidTr="00A53F8A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5711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571160">
            <w:pPr>
              <w:rPr>
                <w:rFonts w:ascii="Arial" w:hAnsi="Arial" w:cs="Arial"/>
                <w:bCs/>
              </w:rPr>
            </w:pPr>
            <w:proofErr w:type="gramStart"/>
            <w:r w:rsidRPr="001806AD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</w:t>
            </w:r>
            <w:r w:rsidRPr="001806AD">
              <w:rPr>
                <w:rFonts w:ascii="Arial" w:hAnsi="Arial" w:cs="Arial"/>
                <w:bCs/>
              </w:rPr>
              <w:lastRenderedPageBreak/>
              <w:t>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 xml:space="preserve">05 1 52 </w:t>
            </w:r>
            <w:r w:rsidRPr="001806AD">
              <w:rPr>
                <w:rFonts w:ascii="Arial" w:hAnsi="Arial" w:cs="Arial"/>
                <w:bCs/>
                <w:lang w:val="en-US"/>
              </w:rPr>
              <w:t>R</w:t>
            </w:r>
            <w:r w:rsidRPr="001806AD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1806AD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1806AD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lang w:val="en-US"/>
              </w:rPr>
            </w:pPr>
            <w:r w:rsidRPr="001806AD">
              <w:rPr>
                <w:rFonts w:ascii="Arial" w:hAnsi="Arial" w:cs="Arial"/>
                <w:lang w:val="en-US"/>
              </w:rPr>
              <w:t>1 159</w:t>
            </w:r>
            <w:r w:rsidRPr="001806AD">
              <w:rPr>
                <w:rFonts w:ascii="Arial" w:hAnsi="Arial" w:cs="Arial"/>
              </w:rPr>
              <w:t>,</w:t>
            </w:r>
            <w:r w:rsidRPr="001806A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71160">
            <w:pPr>
              <w:jc w:val="center"/>
              <w:rPr>
                <w:rFonts w:ascii="Arial" w:hAnsi="Arial" w:cs="Arial"/>
                <w:lang w:val="en-US"/>
              </w:rPr>
            </w:pPr>
            <w:r w:rsidRPr="001806AD">
              <w:rPr>
                <w:rFonts w:ascii="Arial" w:hAnsi="Arial" w:cs="Arial"/>
                <w:lang w:val="en-US"/>
              </w:rPr>
              <w:t>1 143</w:t>
            </w:r>
            <w:r w:rsidRPr="001806AD">
              <w:rPr>
                <w:rFonts w:ascii="Arial" w:hAnsi="Arial" w:cs="Arial"/>
              </w:rPr>
              <w:t>,</w:t>
            </w:r>
            <w:r w:rsidRPr="001806AD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13A44">
      <w:pPr>
        <w:rPr>
          <w:rFonts w:ascii="Arial" w:hAnsi="Arial" w:cs="Arial"/>
        </w:rPr>
      </w:pPr>
      <w:bookmarkStart w:id="36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7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7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600623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8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8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600623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344F9">
      <w:pPr>
        <w:rPr>
          <w:rFonts w:ascii="Arial" w:hAnsi="Arial" w:cs="Arial"/>
        </w:rPr>
      </w:pPr>
      <w:bookmarkStart w:id="39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9"/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2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0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40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tbl>
      <w:tblPr>
        <w:tblW w:w="9634" w:type="dxa"/>
        <w:jc w:val="center"/>
        <w:tblLook w:val="00A0"/>
      </w:tblPr>
      <w:tblGrid>
        <w:gridCol w:w="5665"/>
        <w:gridCol w:w="1701"/>
        <w:gridCol w:w="851"/>
        <w:gridCol w:w="1417"/>
      </w:tblGrid>
      <w:tr w:rsidR="001A60A5" w:rsidRPr="00DC2DBD" w:rsidTr="001A60A5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41" w:name="RANGE!A1"/>
            <w:bookmarkEnd w:id="41"/>
            <w:r w:rsidRPr="00DC2DBD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C2DBD">
              <w:rPr>
                <w:rFonts w:ascii="Arial" w:hAnsi="Arial" w:cs="Arial"/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C2DBD">
              <w:rPr>
                <w:rFonts w:ascii="Arial" w:hAnsi="Arial" w:cs="Arial"/>
                <w:b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C2DBD">
              <w:rPr>
                <w:rFonts w:ascii="Arial" w:hAnsi="Arial" w:cs="Arial"/>
                <w:b/>
                <w:color w:val="000000"/>
                <w:lang w:eastAsia="en-US"/>
              </w:rPr>
              <w:t>Сумма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853 533,6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13 504,2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2 844,1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2 844,1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2 373,7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1 128,4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6 400,0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Организация и проведение мероприятий в рамках празднования профессионального праздника-Дня российского предпринимательствам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C2DB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534 369,0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388 713,7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77 769,6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24 120,2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24 120,2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37 213,1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37 103,1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37 103,1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16 385,3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16 385,3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275 812,0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234 197,2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234 197,2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C2DB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2DB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1 192,0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2 044,7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C2DBD">
              <w:rPr>
                <w:rFonts w:ascii="Arial" w:hAnsi="Arial" w:cs="Arial"/>
              </w:rPr>
              <w:t>общеразвивающих</w:t>
            </w:r>
            <w:proofErr w:type="spellEnd"/>
            <w:r w:rsidRPr="00DC2DB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3 747,0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133 508,2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125 492,0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116 434,5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116 434,5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2DBD">
              <w:rPr>
                <w:rFonts w:ascii="Arial" w:hAnsi="Arial" w:cs="Arial"/>
              </w:rPr>
              <w:t>Сарафановская</w:t>
            </w:r>
            <w:proofErr w:type="spellEnd"/>
            <w:r w:rsidRPr="00DC2DBD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2DBD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2DBD">
              <w:rPr>
                <w:rFonts w:ascii="Arial" w:hAnsi="Arial" w:cs="Arial"/>
              </w:rPr>
              <w:t>с</w:t>
            </w:r>
            <w:proofErr w:type="gramStart"/>
            <w:r w:rsidRPr="00DC2DBD">
              <w:rPr>
                <w:rFonts w:ascii="Arial" w:hAnsi="Arial" w:cs="Arial"/>
              </w:rPr>
              <w:t>.С</w:t>
            </w:r>
            <w:proofErr w:type="gramEnd"/>
            <w:r w:rsidRPr="00DC2DBD">
              <w:rPr>
                <w:rFonts w:ascii="Arial" w:hAnsi="Arial" w:cs="Arial"/>
              </w:rPr>
              <w:t>арафановка</w:t>
            </w:r>
            <w:proofErr w:type="spellEnd"/>
            <w:r w:rsidRPr="00DC2DBD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C2DB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C2DBD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6 926,8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5 103,9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1 742,5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3 700,5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3 691,5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22 706,7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22 638,1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314,7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DC2DBD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2DBD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DC2DBD">
              <w:rPr>
                <w:rFonts w:ascii="Arial" w:hAnsi="Arial" w:cs="Arial"/>
              </w:rPr>
              <w:t>Нарга</w:t>
            </w:r>
            <w:proofErr w:type="spellEnd"/>
            <w:r w:rsidRPr="00DC2DBD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оборудования для создания «умных</w:t>
            </w:r>
            <w:proofErr w:type="gramStart"/>
            <w:r w:rsidRPr="00DC2DBD">
              <w:rPr>
                <w:rFonts w:ascii="Arial" w:hAnsi="Arial" w:cs="Arial"/>
              </w:rPr>
              <w:t>»с</w:t>
            </w:r>
            <w:proofErr w:type="gramEnd"/>
            <w:r w:rsidRPr="00DC2DBD">
              <w:rPr>
                <w:rFonts w:ascii="Arial" w:hAnsi="Arial" w:cs="Arial"/>
              </w:rPr>
              <w:t>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3 148,7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C2DB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2DB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68,6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68,6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C2DB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75 909,3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75 909,3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27 543,7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27 543,7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C2DBD">
              <w:rPr>
                <w:rFonts w:ascii="Arial" w:hAnsi="Arial" w:cs="Arial"/>
              </w:rPr>
              <w:t>межпоселенческими</w:t>
            </w:r>
            <w:proofErr w:type="spellEnd"/>
            <w:r w:rsidRPr="00DC2DB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7 904,3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7 904,3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26 723,7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25 354,8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25 354,8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56 956,6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56 839,6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46 526,4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45 390,0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44 990,0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10 313,2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4 404,9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4 404,9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C2DB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C2DB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1 333,2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1 333,2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2DBD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2DB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12 756,5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12 491,5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2 533,5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2 533,5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2 508,5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4 700,0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5 082,0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C2DBD">
              <w:rPr>
                <w:rFonts w:ascii="Arial" w:hAnsi="Arial" w:cs="Arial"/>
              </w:rPr>
              <w:t>внутришкольном</w:t>
            </w:r>
            <w:proofErr w:type="spellEnd"/>
            <w:r w:rsidRPr="00DC2DB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32 030,9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12 442,0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12 442,0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1 484,6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1 484,6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19 588,9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C2DB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C2DB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1 816,1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39 218,4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35 652,8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34 567,1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2DB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2DB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2 480,6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C2DBD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64 265,9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54 381,0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43 260,0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39 183,1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4 016,9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2DB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2DB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2DB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1 899,8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1 727,1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6 341,7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5 770,1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869,1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4 880,0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4 880,0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3 931,8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3 931,8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Look w:val="00A0"/>
      </w:tblPr>
      <w:tblGrid>
        <w:gridCol w:w="4815"/>
        <w:gridCol w:w="1618"/>
        <w:gridCol w:w="850"/>
        <w:gridCol w:w="1418"/>
        <w:gridCol w:w="1275"/>
      </w:tblGrid>
      <w:tr w:rsidR="00600623" w:rsidRPr="001806AD" w:rsidTr="009B2A7B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9B2A7B">
        <w:trPr>
          <w:cantSplit/>
          <w:trHeight w:val="70"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9B2A7B">
        <w:trPr>
          <w:cantSplit/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bookmarkStart w:id="42" w:name="RANGE!E19"/>
            <w:bookmarkEnd w:id="42"/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и проведение мероприятий в рамках празднования профессионального праздника-Дня российского предпринимательствам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1806A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356 770,0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357 937,9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349 436,6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350 421,9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43 905,2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276 365,5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1806AD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56 823,5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1 757,0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27 523,9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27 464,6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25 278,4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25 398,9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42 318,4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44 032,2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38 384,4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36 769,4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25 648,4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23 757,8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1 890,6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bookmarkStart w:id="43" w:name="_Hlk24394793"/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3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4" w:name="_Hlk24897187"/>
      <w:r w:rsidRPr="001806AD">
        <w:rPr>
          <w:rFonts w:ascii="Arial" w:hAnsi="Arial" w:cs="Arial"/>
          <w:color w:val="000000"/>
        </w:rPr>
        <w:t>Перечень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4"/>
    <w:p w:rsidR="00600623" w:rsidRPr="001806AD" w:rsidRDefault="00600623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162D67">
      <w:pPr>
        <w:rPr>
          <w:rFonts w:ascii="Arial" w:hAnsi="Arial" w:cs="Arial"/>
        </w:rPr>
      </w:pPr>
      <w:bookmarkStart w:id="45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162D67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6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 w:rsidR="001A60A5"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6"/>
    <w:p w:rsidR="00600623" w:rsidRPr="001806AD" w:rsidRDefault="00600623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9815" w:type="dxa"/>
        <w:jc w:val="center"/>
        <w:tblLook w:val="00A0"/>
      </w:tblPr>
      <w:tblGrid>
        <w:gridCol w:w="3823"/>
        <w:gridCol w:w="709"/>
        <w:gridCol w:w="844"/>
        <w:gridCol w:w="857"/>
        <w:gridCol w:w="1618"/>
        <w:gridCol w:w="723"/>
        <w:gridCol w:w="1349"/>
      </w:tblGrid>
      <w:tr w:rsidR="001A60A5" w:rsidRPr="00DC2DBD" w:rsidTr="001A60A5">
        <w:trPr>
          <w:cantSplit/>
          <w:tblHeader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DC2DBD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DC2DBD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853 533,6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235 007,5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41 438,0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2 274,0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2 274,0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2 274,0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2 214,0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bookmarkStart w:id="47" w:name="RANGE!B19:D20"/>
            <w:bookmarkStart w:id="48" w:name="RANGE!B19"/>
            <w:bookmarkEnd w:id="47"/>
            <w:bookmarkEnd w:id="48"/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2 214,0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C2DB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C2DB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35 733,0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35 716,0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35 716,0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27 216,6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23 877,0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23 877,0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3 339,6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3 339,6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72,6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6 341,7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5 770,1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5 770,1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869,1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9900851200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3 428,7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2 559,5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2 533,5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2 533,5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2 508,5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2 508,5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0615200016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359,2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202,2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0615600038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25 528,1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197,5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179,5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5 268,2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2 844,1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2 844,1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2 844,1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0115100001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0115140200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2 744,1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2 424,1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2 424,1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2DB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2DB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2DB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1 899,8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1 727,1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1 727,1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0145100002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0145341250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01453S1250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0715140930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10 622,4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Организация и проведение мероприятий в рамках празднования профессионального праздника-Дня российского предпринимательствам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0145200003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01452S0020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0725240610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19 497,4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C2DB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C2DB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0725140120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16 548,9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2 948,5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01252L5760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1 245,3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081514П020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1 703,2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0835100026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107,9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13 684,0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13 571,9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13 571,9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13 571,9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10 488,2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0415340400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0415440670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2 935,4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2DB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2DB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0945100031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63 290,4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62 337,4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62 337,4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62 337,4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27 543,7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27 543,7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27 543,7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C2DBD">
              <w:rPr>
                <w:rFonts w:ascii="Arial" w:hAnsi="Arial" w:cs="Arial"/>
              </w:rPr>
              <w:t>межпоселенческими</w:t>
            </w:r>
            <w:proofErr w:type="spellEnd"/>
            <w:r w:rsidRPr="00DC2DB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7 904,3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7 904,3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7 904,3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26 723,7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25 354,8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25 354,8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25 354,8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1 368,9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0415200014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953,0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58 635,6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1 228,4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1 128,4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1 128,4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1 128,4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0125145766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01251L5766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01251S5766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2DBD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0525140710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2DB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05251С0710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57 407,3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01351L4970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1 376,5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56 030,8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56 030,8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45 717,6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45 390,0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27 990,0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27 990,0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10 313,2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4 404,9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4 404,9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4 404,9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C2DB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0515241190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4 575,1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C2DBD">
              <w:rPr>
                <w:rFonts w:ascii="Arial" w:hAnsi="Arial" w:cs="Arial"/>
              </w:rPr>
              <w:t xml:space="preserve"> </w:t>
            </w:r>
            <w:proofErr w:type="gramStart"/>
            <w:r w:rsidRPr="00DC2DB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C2DB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1 333,2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05152R0820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1 333,2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1 333,2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12 676,1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3 055,1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3 055,1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3 055,1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031P540008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2 798,7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DC2DBD">
              <w:rPr>
                <w:rFonts w:ascii="Arial" w:hAnsi="Arial" w:cs="Arial"/>
              </w:rPr>
              <w:t>Нарга</w:t>
            </w:r>
            <w:proofErr w:type="spellEnd"/>
            <w:r w:rsidRPr="00DC2DBD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0315400039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0315240320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114,9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03152S0320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780,5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780,5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780,5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573,2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53 254,8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17 119,7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7 565,3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7 565,3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7 565,3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7 285,3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7 285,3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9 354,4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542,7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0925100028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0925200029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8 811,8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4 880,0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4 880,0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4 880,0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9900900000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3 931,8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3 931,8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3 931,8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0935251180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1 085,7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0915100027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482,3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34 567,1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0935140М70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16 056,7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0935100М30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10 510,4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554 767,0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544 805,0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53 438,9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53 417,3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53 417,3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24 171,2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24 120,2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24 120,2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0214100A00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24 120,2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0214100А06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29 246,1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441,4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21,6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445 045,7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439 312,9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305 804,7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37 213,1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37 213,1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37 103,1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14 399,4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14 399,4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22 703,7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22 703,7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236 504,2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234 197,2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77 139,0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77 139,0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157 058,2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157 058,2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2 172,0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C2DB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2DB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1 192,0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657,0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02155L3030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17 600,4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02156L3041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7 612,0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18,9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3 747,0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021E441900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550,1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021E452130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3 196,9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021EВ51790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1 917,1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133 508,2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125 492,0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0225141210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9 048,4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116 434,5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02251L7502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116 434,5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116 434,5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02251S1210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02252L7501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7 659,0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2DBD">
              <w:rPr>
                <w:rFonts w:ascii="Arial" w:hAnsi="Arial" w:cs="Arial"/>
              </w:rPr>
              <w:t>Сарафановская</w:t>
            </w:r>
            <w:proofErr w:type="spellEnd"/>
            <w:r w:rsidRPr="00DC2DBD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2DBD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2DBD">
              <w:rPr>
                <w:rFonts w:ascii="Arial" w:hAnsi="Arial" w:cs="Arial"/>
              </w:rPr>
              <w:t>с</w:t>
            </w:r>
            <w:proofErr w:type="gramStart"/>
            <w:r w:rsidRPr="00DC2DBD">
              <w:rPr>
                <w:rFonts w:ascii="Arial" w:hAnsi="Arial" w:cs="Arial"/>
              </w:rPr>
              <w:t>.С</w:t>
            </w:r>
            <w:proofErr w:type="gramEnd"/>
            <w:r w:rsidRPr="00DC2DBD">
              <w:rPr>
                <w:rFonts w:ascii="Arial" w:hAnsi="Arial" w:cs="Arial"/>
              </w:rPr>
              <w:t>арафановка</w:t>
            </w:r>
            <w:proofErr w:type="spellEnd"/>
            <w:r w:rsidRPr="00DC2DBD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02253S1220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0515140740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808,8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4 700,0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4 700,0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4 700,0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0615441160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4 230,0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06154S1160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470,0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224,0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17 726,3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17 726,3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17 726,3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16 385,3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16 385,3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6 781,7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6 781,7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9 603,6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9 603,6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341,0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0215400007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1 000,0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C2DBD">
              <w:rPr>
                <w:rFonts w:ascii="Arial" w:hAnsi="Arial" w:cs="Arial"/>
              </w:rPr>
              <w:t>общеразвивающих</w:t>
            </w:r>
            <w:proofErr w:type="spellEnd"/>
            <w:r w:rsidRPr="00DC2DB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021E251710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16,5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28 577,6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23 912,5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11 765,4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proofErr w:type="gramStart"/>
            <w:r w:rsidRPr="00DC2DB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0215141330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9 720,7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2 044,7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0215340790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1 738,0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02153S0790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306,7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C2DB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C2DBD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0234100Г00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1 519,8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10 627,3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6 926,8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5 103,9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5 103,9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1 742,5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1 742,5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43,4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37,0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3 700,5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3 691,5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3 691,5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4 394,0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0615500037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4 129,0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C2DBD">
              <w:rPr>
                <w:rFonts w:ascii="Arial" w:hAnsi="Arial" w:cs="Arial"/>
              </w:rPr>
              <w:t>внутришкольном</w:t>
            </w:r>
            <w:proofErr w:type="spellEnd"/>
            <w:r w:rsidRPr="00DC2DB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0625100020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0635100021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0825100024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9901100000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266,1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9 962,0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9 903,7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9 903,7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9 903,7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DC2DBD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2DBD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0315300010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9 524,4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03155L7530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29,3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DC2DB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2DB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2DBD">
              <w:rPr>
                <w:rFonts w:ascii="Arial" w:hAnsi="Arial" w:cs="Arial"/>
              </w:rPr>
              <w:t>Северск</w:t>
            </w:r>
            <w:proofErr w:type="spellEnd"/>
            <w:r w:rsidRPr="00DC2DB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031P5S0006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C2DBD">
              <w:rPr>
                <w:rFonts w:ascii="Arial" w:hAnsi="Arial" w:cs="Arial"/>
              </w:rPr>
              <w:t>Молчановском</w:t>
            </w:r>
            <w:proofErr w:type="spellEnd"/>
            <w:r w:rsidRPr="00DC2DB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0315100009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58,3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1 529,6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Муниципальное казенное учреждение "Отдел по управлению муниципальным имуществом Администрации Молчановского района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8 194,2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6 344,0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C2DB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C2DB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3 894,0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2DBD">
              <w:rPr>
                <w:rFonts w:ascii="Arial" w:hAnsi="Arial" w:cs="Arial"/>
              </w:rPr>
              <w:t>Непрограммное</w:t>
            </w:r>
            <w:proofErr w:type="spellEnd"/>
            <w:r w:rsidRPr="00DC2DB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3 894,0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3 894,0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3 704,0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3 704,0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190,0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2 450,0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2 350,0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1 900,0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150,0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0955200035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100,0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0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1 850,2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1 819,6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1 819,6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1 819,6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1 819,6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335,0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1 484,6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1 484,6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1 484,6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1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2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3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4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5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</w:t>
            </w:r>
          </w:p>
        </w:tc>
      </w:tr>
      <w:tr w:rsidR="001A60A5" w:rsidRPr="00DC2DBD" w:rsidTr="001A60A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09554L5110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center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A5" w:rsidRPr="00DC2DBD" w:rsidRDefault="001A60A5" w:rsidP="001A60A5">
            <w:pPr>
              <w:jc w:val="right"/>
              <w:outlineLvl w:val="6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30,6»;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9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0" w:name="_Hlk24897410"/>
      <w:bookmarkEnd w:id="49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0"/>
    <w:p w:rsidR="00600623" w:rsidRPr="001806AD" w:rsidRDefault="00600623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358" w:type="dxa"/>
        <w:jc w:val="center"/>
        <w:tblLook w:val="00A0"/>
      </w:tblPr>
      <w:tblGrid>
        <w:gridCol w:w="3823"/>
        <w:gridCol w:w="676"/>
        <w:gridCol w:w="496"/>
        <w:gridCol w:w="622"/>
        <w:gridCol w:w="1618"/>
        <w:gridCol w:w="617"/>
        <w:gridCol w:w="1418"/>
        <w:gridCol w:w="1275"/>
      </w:tblGrid>
      <w:tr w:rsidR="00600623" w:rsidRPr="001806AD" w:rsidTr="009B2A7B">
        <w:trPr>
          <w:cantSplit/>
          <w:trHeight w:val="12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600623" w:rsidRPr="001806AD" w:rsidTr="009B2A7B">
        <w:trPr>
          <w:cantSplit/>
          <w:trHeight w:val="15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144 242,2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27 220,9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23 723,9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15 207,5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и проведение мероприятий в рамках празднования профессионального праздника-Дня российского предпринимательствам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6 318,9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56 364,7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Непрограммные</w:t>
            </w:r>
            <w:proofErr w:type="spellEnd"/>
            <w:r w:rsidRPr="001806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7 019,5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Подпрограмма «Совершенствование межбюджетных отношений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359 607,2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359 257,2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14 137,2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285 165,3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236 715,1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236 995,0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Подпрограмма «Развитие эффективной молодежной политики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19 547,5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19 277,5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1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600623" w:rsidRPr="001806AD" w:rsidRDefault="00600623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1"/>
    </w:p>
    <w:p w:rsidR="00600623" w:rsidRPr="001806AD" w:rsidRDefault="00600623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52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2"/>
    <w:p w:rsidR="00600623" w:rsidRPr="001806AD" w:rsidRDefault="00600623" w:rsidP="00A90895">
      <w:pPr>
        <w:ind w:left="12900"/>
        <w:rPr>
          <w:rFonts w:ascii="Arial" w:hAnsi="Arial" w:cs="Arial"/>
        </w:rPr>
      </w:pPr>
    </w:p>
    <w:tbl>
      <w:tblPr>
        <w:tblW w:w="14913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600623" w:rsidRPr="001806AD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2546B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2025 год</w:t>
            </w:r>
          </w:p>
        </w:tc>
      </w:tr>
      <w:tr w:rsidR="00600623" w:rsidRPr="001806AD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600623" w:rsidRPr="001806AD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1806AD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</w:t>
            </w:r>
            <w:r w:rsidRPr="001806AD">
              <w:rPr>
                <w:rFonts w:ascii="Arial" w:hAnsi="Arial" w:cs="Arial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600623" w:rsidRPr="001806AD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2025 год</w:t>
            </w:r>
          </w:p>
        </w:tc>
      </w:tr>
      <w:tr w:rsidR="00600623" w:rsidRPr="001806AD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1806AD">
              <w:rPr>
                <w:rFonts w:ascii="Arial" w:hAnsi="Arial" w:cs="Arial"/>
              </w:rPr>
              <w:t>дств пр</w:t>
            </w:r>
            <w:proofErr w:type="gramEnd"/>
            <w:r w:rsidRPr="001806AD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7B4287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17 000,0</w:t>
            </w:r>
          </w:p>
        </w:tc>
      </w:tr>
      <w:tr w:rsidR="00600623" w:rsidRPr="001806AD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17 324,2</w:t>
            </w:r>
          </w:p>
        </w:tc>
      </w:tr>
    </w:tbl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600623" w:rsidRPr="001806AD" w:rsidSect="001560E1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3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3"/>
    </w:p>
    <w:p w:rsidR="00600623" w:rsidRPr="001806AD" w:rsidRDefault="00600623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4" w:name="_Hlk9007939"/>
    </w:p>
    <w:bookmarkEnd w:id="54"/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bookmarkStart w:id="55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  <w:sectPr w:rsidR="00600623" w:rsidRPr="001806AD" w:rsidSect="00772325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5"/>
    </w:p>
    <w:p w:rsidR="00600623" w:rsidRPr="001806AD" w:rsidRDefault="00600623" w:rsidP="00A90895">
      <w:pPr>
        <w:ind w:left="3545" w:firstLine="708"/>
        <w:rPr>
          <w:rFonts w:ascii="Arial" w:hAnsi="Arial" w:cs="Arial"/>
        </w:rPr>
      </w:pPr>
    </w:p>
    <w:p w:rsidR="00600623" w:rsidRPr="001806AD" w:rsidRDefault="00600623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</w:p>
    <w:p w:rsidR="00600623" w:rsidRPr="001806AD" w:rsidRDefault="00600623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600623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600623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806AD">
              <w:rPr>
                <w:rFonts w:ascii="Arial" w:hAnsi="Arial" w:cs="Arial"/>
                <w:b/>
              </w:rPr>
              <w:t>Молчановском</w:t>
            </w:r>
            <w:proofErr w:type="spellEnd"/>
            <w:r w:rsidRPr="001806AD">
              <w:rPr>
                <w:rFonts w:ascii="Arial" w:hAnsi="Arial" w:cs="Arial"/>
                <w:b/>
              </w:rPr>
              <w:t xml:space="preserve"> районе на 2022-2029 годы»</w:t>
            </w:r>
          </w:p>
        </w:tc>
      </w:tr>
      <w:tr w:rsidR="00600623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600623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6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6"/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2813D6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Таблица 1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7" w:name="_Hlk24897914"/>
      <w:r w:rsidRPr="001806AD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</w:t>
      </w:r>
    </w:p>
    <w:bookmarkEnd w:id="57"/>
    <w:p w:rsidR="00600623" w:rsidRPr="001806AD" w:rsidRDefault="00600623" w:rsidP="004153FD">
      <w:pPr>
        <w:tabs>
          <w:tab w:val="left" w:pos="9356"/>
        </w:tabs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5573D" w:rsidRPr="00DC2DBD" w:rsidTr="007D13D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 xml:space="preserve">Размер дотации </w:t>
            </w:r>
            <w:r w:rsidRPr="00DC2DBD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в том числе: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bookmarkStart w:id="58" w:name="_Hlk24706237"/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8"/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C5573D" w:rsidRPr="00DC2DBD" w:rsidRDefault="00600623" w:rsidP="00C5573D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000000"/>
        </w:rPr>
        <w:br w:type="page"/>
      </w:r>
      <w:r w:rsidR="00C5573D" w:rsidRPr="00DC2DBD">
        <w:rPr>
          <w:rFonts w:ascii="Arial" w:hAnsi="Arial" w:cs="Arial"/>
          <w:color w:val="auto"/>
          <w:sz w:val="24"/>
          <w:szCs w:val="24"/>
        </w:rPr>
        <w:lastRenderedPageBreak/>
        <w:t>Таблица 1.1</w:t>
      </w:r>
    </w:p>
    <w:p w:rsidR="00C5573D" w:rsidRPr="00DC2DBD" w:rsidRDefault="00C5573D" w:rsidP="00C5573D">
      <w:pPr>
        <w:ind w:right="98"/>
        <w:jc w:val="center"/>
        <w:rPr>
          <w:rFonts w:ascii="Arial" w:hAnsi="Arial" w:cs="Arial"/>
          <w:color w:val="000000"/>
        </w:rPr>
      </w:pPr>
      <w:bookmarkStart w:id="59" w:name="_Hlk24897949"/>
      <w:r w:rsidRPr="00DC2DBD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C5573D" w:rsidRPr="00DC2DBD" w:rsidRDefault="00C5573D" w:rsidP="00C5573D">
      <w:pPr>
        <w:ind w:right="98"/>
        <w:jc w:val="center"/>
        <w:rPr>
          <w:rFonts w:ascii="Arial" w:hAnsi="Arial" w:cs="Arial"/>
          <w:color w:val="000000"/>
        </w:rPr>
      </w:pPr>
      <w:r w:rsidRPr="00DC2DBD">
        <w:rPr>
          <w:rFonts w:ascii="Arial" w:hAnsi="Arial" w:cs="Arial"/>
          <w:color w:val="000000"/>
        </w:rPr>
        <w:t xml:space="preserve">на 2024 год </w:t>
      </w:r>
      <w:bookmarkEnd w:id="59"/>
    </w:p>
    <w:p w:rsidR="00C5573D" w:rsidRPr="00DC2DBD" w:rsidRDefault="00C5573D" w:rsidP="00C5573D">
      <w:pPr>
        <w:ind w:right="142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5573D" w:rsidRPr="00DC2DBD" w:rsidTr="007D13D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 xml:space="preserve">Размер дотации </w:t>
            </w:r>
            <w:r w:rsidRPr="00DC2DBD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в том числе: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C5573D" w:rsidRPr="00DC2DBD" w:rsidRDefault="00C5573D" w:rsidP="00C5573D">
      <w:pPr>
        <w:jc w:val="center"/>
        <w:rPr>
          <w:rFonts w:ascii="Arial" w:hAnsi="Arial" w:cs="Arial"/>
          <w:b/>
          <w:bCs/>
        </w:rPr>
      </w:pPr>
    </w:p>
    <w:p w:rsidR="00C5573D" w:rsidRPr="00DC2DBD" w:rsidRDefault="00C5573D" w:rsidP="00C5573D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1.2</w:t>
      </w: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bookmarkStart w:id="60" w:name="_Hlk24897967"/>
      <w:r w:rsidRPr="00DC2DBD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 xml:space="preserve">на 2025 год </w:t>
      </w:r>
    </w:p>
    <w:bookmarkEnd w:id="60"/>
    <w:p w:rsidR="00C5573D" w:rsidRPr="00DC2DBD" w:rsidRDefault="00C5573D" w:rsidP="00C5573D">
      <w:pPr>
        <w:ind w:right="142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C5573D" w:rsidRPr="00DC2DBD" w:rsidTr="007D13D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 xml:space="preserve">Размер дотации </w:t>
            </w:r>
            <w:r w:rsidRPr="00DC2DBD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в том числе: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C5573D" w:rsidRPr="00DC2DBD" w:rsidTr="007D13DF">
        <w:trPr>
          <w:jc w:val="center"/>
        </w:trPr>
        <w:tc>
          <w:tcPr>
            <w:tcW w:w="3794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2DBD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C5573D" w:rsidRPr="00DC2DBD" w:rsidRDefault="00C5573D" w:rsidP="00C5573D">
      <w:pPr>
        <w:pStyle w:val="2"/>
        <w:ind w:right="425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2</w:t>
      </w:r>
    </w:p>
    <w:p w:rsidR="00C5573D" w:rsidRPr="00DC2DBD" w:rsidRDefault="00C5573D" w:rsidP="00C5573D">
      <w:pPr>
        <w:jc w:val="center"/>
        <w:rPr>
          <w:rFonts w:ascii="Arial" w:hAnsi="Arial" w:cs="Arial"/>
        </w:rPr>
      </w:pPr>
      <w:bookmarkStart w:id="61" w:name="_Hlk24898145"/>
      <w:r w:rsidRPr="00DC2DBD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C5573D" w:rsidRPr="00DC2DBD" w:rsidRDefault="00C5573D" w:rsidP="00C5573D">
      <w:pPr>
        <w:jc w:val="center"/>
        <w:rPr>
          <w:rFonts w:ascii="Arial" w:hAnsi="Arial" w:cs="Arial"/>
        </w:rPr>
      </w:pPr>
    </w:p>
    <w:p w:rsidR="00C5573D" w:rsidRPr="00DC2DBD" w:rsidRDefault="00C5573D" w:rsidP="00C5573D">
      <w:pPr>
        <w:ind w:right="283"/>
        <w:jc w:val="right"/>
        <w:rPr>
          <w:rFonts w:ascii="Arial" w:hAnsi="Arial" w:cs="Arial"/>
          <w:bCs/>
        </w:rPr>
      </w:pPr>
      <w:bookmarkStart w:id="62" w:name="_Hlk24552702"/>
      <w:bookmarkEnd w:id="61"/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16 548,9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2"/>
    </w:tbl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3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jc w:val="center"/>
        <w:rPr>
          <w:rFonts w:ascii="Arial" w:hAnsi="Arial" w:cs="Arial"/>
        </w:rPr>
      </w:pPr>
      <w:bookmarkStart w:id="63" w:name="_Hlk24898170"/>
      <w:r w:rsidRPr="00DC2DBD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3"/>
    </w:p>
    <w:p w:rsidR="00C5573D" w:rsidRPr="00DC2DBD" w:rsidRDefault="00C5573D" w:rsidP="00C5573D">
      <w:pPr>
        <w:ind w:right="283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713,7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1 340,6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366,6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134,3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243,5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4</w:t>
      </w:r>
    </w:p>
    <w:p w:rsidR="00C5573D" w:rsidRPr="00DC2DBD" w:rsidRDefault="00C5573D" w:rsidP="00C5573D">
      <w:pPr>
        <w:jc w:val="center"/>
        <w:rPr>
          <w:rFonts w:ascii="Arial" w:hAnsi="Arial" w:cs="Arial"/>
          <w:b/>
        </w:rPr>
      </w:pPr>
      <w:r w:rsidRPr="00DC2DBD">
        <w:rPr>
          <w:rFonts w:ascii="Arial" w:hAnsi="Arial" w:cs="Arial"/>
          <w:bCs/>
        </w:rPr>
        <w:t xml:space="preserve">Распределение </w:t>
      </w:r>
      <w:proofErr w:type="spellStart"/>
      <w:r w:rsidRPr="00DC2DBD">
        <w:rPr>
          <w:rFonts w:ascii="Arial" w:hAnsi="Arial" w:cs="Arial"/>
          <w:bCs/>
        </w:rPr>
        <w:t>субсидийместным</w:t>
      </w:r>
      <w:proofErr w:type="spellEnd"/>
      <w:r w:rsidRPr="00DC2DBD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C5573D" w:rsidRPr="00DC2DBD" w:rsidRDefault="00C5573D" w:rsidP="00C5573D">
      <w:pPr>
        <w:ind w:right="142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3 207,3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4 355,7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1 629,6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lastRenderedPageBreak/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555,1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874,7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2DB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5</w:t>
      </w:r>
    </w:p>
    <w:p w:rsidR="00C5573D" w:rsidRPr="00DC2DBD" w:rsidRDefault="00C5573D" w:rsidP="00C5573D">
      <w:pPr>
        <w:ind w:right="283"/>
        <w:jc w:val="center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 xml:space="preserve">Распределение </w:t>
      </w:r>
      <w:proofErr w:type="spellStart"/>
      <w:r w:rsidRPr="00DC2DBD">
        <w:rPr>
          <w:rFonts w:ascii="Arial" w:hAnsi="Arial" w:cs="Arial"/>
          <w:bCs/>
        </w:rPr>
        <w:t>субсидийместным</w:t>
      </w:r>
      <w:proofErr w:type="spellEnd"/>
      <w:r w:rsidRPr="00DC2DBD">
        <w:rPr>
          <w:rFonts w:ascii="Arial" w:hAnsi="Arial" w:cs="Arial"/>
          <w:bCs/>
        </w:rPr>
        <w:t xml:space="preserve"> бюджетам </w:t>
      </w:r>
      <w:proofErr w:type="spellStart"/>
      <w:r w:rsidRPr="00DC2DBD">
        <w:rPr>
          <w:rFonts w:ascii="Arial" w:hAnsi="Arial" w:cs="Arial"/>
          <w:bCs/>
        </w:rPr>
        <w:t>наосуществление</w:t>
      </w:r>
      <w:proofErr w:type="spellEnd"/>
      <w:r w:rsidRPr="00DC2DBD">
        <w:rPr>
          <w:rFonts w:ascii="Arial" w:hAnsi="Arial" w:cs="Arial"/>
          <w:bCs/>
        </w:rPr>
        <w:t xml:space="preserve"> капитальных вложений в объекты муниципальной собственности в сфере обращения с твёрдыми коммунальными отходами на 2023 год</w:t>
      </w:r>
    </w:p>
    <w:p w:rsidR="00C5573D" w:rsidRPr="00DC2DBD" w:rsidRDefault="00C5573D" w:rsidP="00C5573D">
      <w:pPr>
        <w:jc w:val="center"/>
        <w:rPr>
          <w:rFonts w:ascii="Arial" w:hAnsi="Arial" w:cs="Arial"/>
          <w:b/>
        </w:rPr>
      </w:pPr>
    </w:p>
    <w:p w:rsidR="00C5573D" w:rsidRPr="00DC2DBD" w:rsidRDefault="00C5573D" w:rsidP="00C5573D">
      <w:pPr>
        <w:ind w:left="3540" w:right="425" w:firstLine="708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C5573D" w:rsidRPr="00DC2DBD" w:rsidTr="007D13DF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6075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1 703,2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1 703,2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6</w:t>
      </w:r>
    </w:p>
    <w:p w:rsidR="00C5573D" w:rsidRPr="00DC2DBD" w:rsidRDefault="00C5573D" w:rsidP="00C5573D">
      <w:pPr>
        <w:ind w:right="283"/>
        <w:jc w:val="center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 xml:space="preserve">Распределение </w:t>
      </w:r>
      <w:proofErr w:type="spellStart"/>
      <w:r w:rsidRPr="00DC2DBD">
        <w:rPr>
          <w:rFonts w:ascii="Arial" w:hAnsi="Arial" w:cs="Arial"/>
          <w:bCs/>
        </w:rPr>
        <w:t>субсидийместным</w:t>
      </w:r>
      <w:proofErr w:type="spellEnd"/>
      <w:r w:rsidRPr="00DC2DBD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C5573D" w:rsidRPr="00DC2DBD" w:rsidRDefault="00C5573D" w:rsidP="00C5573D">
      <w:pPr>
        <w:jc w:val="center"/>
        <w:rPr>
          <w:rFonts w:ascii="Arial" w:hAnsi="Arial" w:cs="Arial"/>
          <w:b/>
        </w:rPr>
      </w:pPr>
    </w:p>
    <w:p w:rsidR="00C5573D" w:rsidRPr="00DC2DBD" w:rsidRDefault="00C5573D" w:rsidP="00C5573D">
      <w:pPr>
        <w:ind w:right="425"/>
        <w:jc w:val="right"/>
        <w:rPr>
          <w:rFonts w:ascii="Arial" w:hAnsi="Arial" w:cs="Arial"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C5573D" w:rsidRPr="00DC2DBD" w:rsidTr="007D13DF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6075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C5573D" w:rsidRPr="00DC2DBD" w:rsidTr="007D13DF">
        <w:trPr>
          <w:jc w:val="center"/>
        </w:trPr>
        <w:tc>
          <w:tcPr>
            <w:tcW w:w="6075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3 040,0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7</w:t>
      </w: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</w:p>
    <w:p w:rsidR="00C5573D" w:rsidRPr="00DC2DBD" w:rsidRDefault="00C5573D" w:rsidP="00C5573D">
      <w:pPr>
        <w:ind w:right="141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5573D" w:rsidRPr="00DC2DBD" w:rsidRDefault="00C5573D" w:rsidP="007D13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2DBD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5573D" w:rsidRPr="00DC2DBD" w:rsidRDefault="00C5573D" w:rsidP="007D13DF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5573D" w:rsidRPr="00DC2DBD" w:rsidRDefault="00C5573D" w:rsidP="007D13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2DBD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C5573D" w:rsidRPr="00DC2DBD" w:rsidRDefault="00C5573D" w:rsidP="007D13DF">
            <w:pPr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color w:val="000000"/>
              </w:rPr>
            </w:pPr>
            <w:r w:rsidRPr="00DC2DBD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DBD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C5573D" w:rsidRPr="00DC2DBD" w:rsidRDefault="00C5573D" w:rsidP="00C5573D">
      <w:pPr>
        <w:ind w:right="98"/>
        <w:rPr>
          <w:rFonts w:ascii="Arial" w:hAnsi="Arial" w:cs="Arial"/>
          <w:color w:val="000000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br w:type="page"/>
      </w:r>
    </w:p>
    <w:p w:rsidR="00C5573D" w:rsidRPr="00DC2DBD" w:rsidRDefault="00C5573D" w:rsidP="00C5573D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8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proofErr w:type="gramStart"/>
      <w:r w:rsidRPr="00DC2DBD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DC2DBD">
        <w:rPr>
          <w:rFonts w:ascii="Arial" w:hAnsi="Arial" w:cs="Arial"/>
          <w:bCs/>
        </w:rPr>
        <w:t xml:space="preserve"> </w:t>
      </w:r>
      <w:proofErr w:type="gramStart"/>
      <w:r w:rsidRPr="00DC2DBD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</w:p>
    <w:p w:rsidR="00C5573D" w:rsidRPr="00DC2DBD" w:rsidRDefault="00C5573D" w:rsidP="00C5573D">
      <w:pPr>
        <w:ind w:right="141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2 793,1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2 793,1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9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proofErr w:type="gramStart"/>
      <w:r w:rsidRPr="00DC2DBD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DC2DBD">
        <w:rPr>
          <w:rFonts w:ascii="Arial" w:hAnsi="Arial" w:cs="Arial"/>
          <w:bCs/>
        </w:rPr>
        <w:t xml:space="preserve"> </w:t>
      </w:r>
      <w:proofErr w:type="gramStart"/>
      <w:r w:rsidRPr="00DC2DBD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DC2DBD">
        <w:rPr>
          <w:rFonts w:ascii="Arial" w:hAnsi="Arial" w:cs="Arial"/>
          <w:bCs/>
        </w:rPr>
        <w:t xml:space="preserve"> и на плановый период 2024 и 2025 годов</w:t>
      </w: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</w:p>
    <w:p w:rsidR="00C5573D" w:rsidRPr="00DC2DBD" w:rsidRDefault="00C5573D" w:rsidP="00C5573D">
      <w:pPr>
        <w:ind w:right="141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749,1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2 316,0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2 299,9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1 782,0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891,0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 xml:space="preserve">Итого по муниципальным </w:t>
            </w:r>
            <w:r w:rsidRPr="00DC2DBD">
              <w:rPr>
                <w:rFonts w:ascii="Arial" w:hAnsi="Arial" w:cs="Arial"/>
                <w:b/>
                <w:bCs/>
              </w:rPr>
              <w:lastRenderedPageBreak/>
              <w:t>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lastRenderedPageBreak/>
              <w:t>5 738,1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2DBD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10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ind w:right="141"/>
        <w:jc w:val="center"/>
        <w:rPr>
          <w:rFonts w:ascii="Arial" w:hAnsi="Arial" w:cs="Arial"/>
          <w:bCs/>
        </w:rPr>
      </w:pPr>
      <w:bookmarkStart w:id="64" w:name="_Hlk24898050"/>
      <w:r w:rsidRPr="00DC2DBD">
        <w:rPr>
          <w:rFonts w:ascii="Arial" w:hAnsi="Arial" w:cs="Arial"/>
          <w:bCs/>
        </w:rPr>
        <w:t xml:space="preserve">Распределение </w:t>
      </w:r>
      <w:r w:rsidRPr="00DC2DBD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C2DBD">
        <w:rPr>
          <w:rFonts w:ascii="Arial" w:hAnsi="Arial" w:cs="Arial"/>
          <w:bCs/>
        </w:rPr>
        <w:t>на 2023 год и на плановый период 2024 и 2025 годов</w:t>
      </w:r>
    </w:p>
    <w:bookmarkEnd w:id="64"/>
    <w:p w:rsidR="00C5573D" w:rsidRPr="00DC2DBD" w:rsidRDefault="00C5573D" w:rsidP="00C5573D">
      <w:pPr>
        <w:ind w:right="141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1 871,0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3 561,8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339,0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3 738,6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1 000,0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</w:rPr>
            </w:pPr>
            <w:r w:rsidRPr="00DC2DBD">
              <w:rPr>
                <w:rFonts w:ascii="Arial" w:hAnsi="Arial" w:cs="Arial"/>
              </w:rPr>
              <w:t>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</w:rPr>
            </w:pPr>
            <w:r w:rsidRPr="00DC2DBD">
              <w:rPr>
                <w:rFonts w:ascii="Arial" w:hAnsi="Arial" w:cs="Arial"/>
                <w:b/>
              </w:rPr>
              <w:t>0,0</w:t>
            </w:r>
          </w:p>
        </w:tc>
      </w:tr>
    </w:tbl>
    <w:p w:rsidR="00C5573D" w:rsidRPr="00DC2DBD" w:rsidRDefault="00C5573D" w:rsidP="00C5573D">
      <w:pPr>
        <w:jc w:val="center"/>
        <w:rPr>
          <w:rFonts w:ascii="Arial" w:hAnsi="Arial" w:cs="Arial"/>
          <w:b/>
          <w:bCs/>
        </w:rPr>
      </w:pPr>
    </w:p>
    <w:p w:rsidR="00C5573D" w:rsidRPr="00DC2DBD" w:rsidRDefault="00C5573D" w:rsidP="00C5573D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11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jc w:val="center"/>
        <w:rPr>
          <w:rFonts w:ascii="Arial" w:hAnsi="Arial" w:cs="Arial"/>
          <w:bCs/>
        </w:rPr>
      </w:pPr>
      <w:bookmarkStart w:id="65" w:name="_Hlk24898115"/>
      <w:proofErr w:type="gramStart"/>
      <w:r w:rsidRPr="00DC2DBD">
        <w:rPr>
          <w:rFonts w:ascii="Arial" w:hAnsi="Arial" w:cs="Arial"/>
          <w:bCs/>
        </w:rPr>
        <w:t xml:space="preserve">Распределение </w:t>
      </w:r>
      <w:r w:rsidRPr="00DC2DBD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DC2DBD">
        <w:rPr>
          <w:rFonts w:ascii="Arial" w:hAnsi="Arial" w:cs="Arial"/>
        </w:rPr>
        <w:t xml:space="preserve">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</w:t>
      </w:r>
      <w:proofErr w:type="spellStart"/>
      <w:r w:rsidRPr="00DC2DBD">
        <w:rPr>
          <w:rFonts w:ascii="Arial" w:hAnsi="Arial" w:cs="Arial"/>
        </w:rPr>
        <w:t>брак</w:t>
      </w:r>
      <w:r w:rsidRPr="00DC2DBD">
        <w:rPr>
          <w:rFonts w:ascii="Arial" w:hAnsi="Arial" w:cs="Arial"/>
          <w:bCs/>
        </w:rPr>
        <w:t>на</w:t>
      </w:r>
      <w:proofErr w:type="spellEnd"/>
      <w:r w:rsidRPr="00DC2DBD">
        <w:rPr>
          <w:rFonts w:ascii="Arial" w:hAnsi="Arial" w:cs="Arial"/>
          <w:bCs/>
        </w:rPr>
        <w:t xml:space="preserve"> 2023 год и на плановый период 2024 и 2025 годов</w:t>
      </w:r>
    </w:p>
    <w:bookmarkEnd w:id="65"/>
    <w:p w:rsidR="00C5573D" w:rsidRPr="00DC2DBD" w:rsidRDefault="00C5573D" w:rsidP="00C5573D">
      <w:pPr>
        <w:ind w:right="283"/>
        <w:jc w:val="right"/>
        <w:rPr>
          <w:rFonts w:ascii="Arial" w:hAnsi="Arial" w:cs="Arial"/>
          <w:bCs/>
        </w:rPr>
      </w:pPr>
      <w:r w:rsidRPr="00DC2DBD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C5573D" w:rsidRPr="00DC2DBD" w:rsidTr="007D13DF">
        <w:trPr>
          <w:trHeight w:val="271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6" w:name="_Hlk24552617"/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5573D" w:rsidRPr="00DC2DBD" w:rsidTr="007D13DF">
        <w:trPr>
          <w:trHeight w:val="276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bookmarkStart w:id="67" w:name="_Hlk24705261"/>
            <w:proofErr w:type="spellStart"/>
            <w:r w:rsidRPr="00DC2DBD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20,0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40,0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proofErr w:type="spellStart"/>
            <w:r w:rsidRPr="00DC2DBD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2DBD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10,0</w:t>
            </w:r>
          </w:p>
        </w:tc>
      </w:tr>
      <w:tr w:rsidR="00C5573D" w:rsidRPr="00DC2DBD" w:rsidTr="007D13DF"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6"/>
      <w:bookmarkEnd w:id="67"/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Таблица 12</w:t>
      </w:r>
    </w:p>
    <w:p w:rsidR="00C5573D" w:rsidRPr="00DC2DBD" w:rsidRDefault="00C5573D" w:rsidP="00C5573D">
      <w:pPr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jc w:val="center"/>
        <w:rPr>
          <w:rFonts w:ascii="Arial" w:hAnsi="Arial" w:cs="Arial"/>
        </w:rPr>
      </w:pPr>
      <w:r w:rsidRPr="00DC2DBD">
        <w:rPr>
          <w:rFonts w:ascii="Arial" w:hAnsi="Arial" w:cs="Arial"/>
        </w:rPr>
        <w:lastRenderedPageBreak/>
        <w:t xml:space="preserve"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</w:r>
      <w:proofErr w:type="spellStart"/>
      <w:r w:rsidRPr="00DC2DBD">
        <w:rPr>
          <w:rFonts w:ascii="Arial" w:hAnsi="Arial" w:cs="Arial"/>
        </w:rPr>
        <w:t>Нарга</w:t>
      </w:r>
      <w:proofErr w:type="spellEnd"/>
      <w:r w:rsidRPr="00DC2DBD">
        <w:rPr>
          <w:rFonts w:ascii="Arial" w:hAnsi="Arial" w:cs="Arial"/>
        </w:rPr>
        <w:t>, ул. Карла Маркса, 36, помещение 3</w:t>
      </w:r>
    </w:p>
    <w:p w:rsidR="00C5573D" w:rsidRPr="00DC2DBD" w:rsidRDefault="00C5573D" w:rsidP="00C5573D">
      <w:pPr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C5573D" w:rsidRPr="00DC2DBD" w:rsidTr="007D13D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5573D" w:rsidRPr="00DC2DBD" w:rsidTr="007D13DF">
        <w:trPr>
          <w:trHeight w:val="276"/>
          <w:jc w:val="center"/>
        </w:trPr>
        <w:tc>
          <w:tcPr>
            <w:tcW w:w="4219" w:type="dxa"/>
            <w:vMerge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Cs/>
              </w:rPr>
            </w:pPr>
            <w:r w:rsidRPr="00DC2DBD">
              <w:rPr>
                <w:rFonts w:ascii="Arial" w:hAnsi="Arial" w:cs="Arial"/>
                <w:bCs/>
              </w:rPr>
              <w:t>0,0</w:t>
            </w:r>
          </w:p>
        </w:tc>
      </w:tr>
      <w:tr w:rsidR="00C5573D" w:rsidRPr="00DC2DBD" w:rsidTr="007D13DF">
        <w:trPr>
          <w:jc w:val="center"/>
        </w:trPr>
        <w:tc>
          <w:tcPr>
            <w:tcW w:w="4219" w:type="dxa"/>
          </w:tcPr>
          <w:p w:rsidR="00C5573D" w:rsidRPr="00DC2DBD" w:rsidRDefault="00C5573D" w:rsidP="007D13DF">
            <w:pPr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C5573D" w:rsidRPr="00DC2DBD" w:rsidRDefault="00C5573D" w:rsidP="007D1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BD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C5573D" w:rsidRPr="00DC2DBD" w:rsidRDefault="00C5573D" w:rsidP="00C5573D">
      <w:pPr>
        <w:rPr>
          <w:rFonts w:ascii="Arial" w:hAnsi="Arial" w:cs="Arial"/>
        </w:rPr>
      </w:pP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7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C5573D" w:rsidRPr="00DC2DBD" w:rsidRDefault="00C5573D" w:rsidP="00C5573D">
      <w:pPr>
        <w:ind w:firstLine="720"/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600623" w:rsidRPr="001806AD" w:rsidSect="00772325">
      <w:headerReference w:type="default" r:id="rId18"/>
      <w:headerReference w:type="first" r:id="rId19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22" w:rsidRDefault="00B76322">
      <w:r>
        <w:separator/>
      </w:r>
    </w:p>
  </w:endnote>
  <w:endnote w:type="continuationSeparator" w:id="0">
    <w:p w:rsidR="00B76322" w:rsidRDefault="00B7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22" w:rsidRDefault="00B76322">
      <w:r>
        <w:separator/>
      </w:r>
    </w:p>
  </w:footnote>
  <w:footnote w:type="continuationSeparator" w:id="0">
    <w:p w:rsidR="00B76322" w:rsidRDefault="00B76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204</w:t>
      </w:r>
    </w:fldSimple>
  </w:p>
  <w:p w:rsidR="001A60A5" w:rsidRDefault="001A60A5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200</w:t>
      </w:r>
    </w:fldSimple>
  </w:p>
  <w:p w:rsidR="001A60A5" w:rsidRDefault="001A60A5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209</w:t>
      </w:r>
    </w:fldSimple>
  </w:p>
  <w:p w:rsidR="001A60A5" w:rsidRDefault="001A60A5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202</w:t>
      </w:r>
    </w:fldSimple>
  </w:p>
  <w:p w:rsidR="001A60A5" w:rsidRDefault="001A60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 w:rsidP="003C5BBD">
    <w:pPr>
      <w:pStyle w:val="a5"/>
      <w:jc w:val="right"/>
    </w:pPr>
  </w:p>
  <w:p w:rsidR="001A60A5" w:rsidRDefault="001A60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8</w:t>
      </w:r>
    </w:fldSimple>
  </w:p>
  <w:p w:rsidR="001A60A5" w:rsidRDefault="001A60A5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1A60A5" w:rsidRDefault="001A60A5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1A60A5" w:rsidRDefault="001A60A5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200</w:t>
      </w:r>
    </w:fldSimple>
  </w:p>
  <w:p w:rsidR="001A60A5" w:rsidRDefault="001A60A5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r>
      <w:t>202</w:t>
    </w:r>
  </w:p>
  <w:p w:rsidR="001A60A5" w:rsidRDefault="001A60A5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5" w:rsidRDefault="001A60A5">
    <w:pPr>
      <w:pStyle w:val="a5"/>
      <w:jc w:val="center"/>
    </w:pPr>
    <w:fldSimple w:instr="PAGE   \* MERGEFORMAT">
      <w:r w:rsidR="00C5573D">
        <w:rPr>
          <w:noProof/>
        </w:rPr>
        <w:t>201</w:t>
      </w:r>
    </w:fldSimple>
  </w:p>
  <w:p w:rsidR="001A60A5" w:rsidRDefault="001A60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CCE"/>
    <w:rsid w:val="00DC11A5"/>
    <w:rsid w:val="00DC1B69"/>
    <w:rsid w:val="00DC262A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247</Pages>
  <Words>53348</Words>
  <Characters>304087</Characters>
  <Application>Microsoft Office Word</Application>
  <DocSecurity>0</DocSecurity>
  <Lines>2534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69</cp:revision>
  <cp:lastPrinted>2022-12-27T08:14:00Z</cp:lastPrinted>
  <dcterms:created xsi:type="dcterms:W3CDTF">2022-12-08T09:11:00Z</dcterms:created>
  <dcterms:modified xsi:type="dcterms:W3CDTF">2023-02-03T07:35:00Z</dcterms:modified>
</cp:coreProperties>
</file>